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0318" w14:textId="77777777" w:rsidR="00A90021" w:rsidRPr="00EB5846" w:rsidRDefault="00A90021" w:rsidP="004A72FB">
      <w:pPr>
        <w:spacing w:before="100" w:beforeAutospacing="1" w:after="100" w:afterAutospacing="1" w:line="276" w:lineRule="auto"/>
        <w:contextualSpacing/>
        <w:rPr>
          <w:rFonts w:eastAsia="Arial" w:cs="Arial"/>
          <w:b/>
          <w:szCs w:val="22"/>
        </w:rPr>
      </w:pPr>
    </w:p>
    <w:p w14:paraId="18819985" w14:textId="2BE2C37F" w:rsidR="00A90021" w:rsidRPr="00EB5846" w:rsidRDefault="00A90021" w:rsidP="004A72FB">
      <w:pPr>
        <w:spacing w:before="100" w:beforeAutospacing="1" w:after="100" w:afterAutospacing="1" w:line="276" w:lineRule="auto"/>
        <w:contextualSpacing/>
        <w:rPr>
          <w:rFonts w:eastAsia="Arial" w:cs="Arial"/>
          <w:b/>
          <w:szCs w:val="22"/>
        </w:rPr>
      </w:pPr>
    </w:p>
    <w:p w14:paraId="3572B4B5" w14:textId="0C8B47DE" w:rsidR="00EB5846" w:rsidRPr="00EB5846" w:rsidRDefault="00EB5846" w:rsidP="004A72FB">
      <w:pPr>
        <w:spacing w:before="100" w:beforeAutospacing="1" w:after="100" w:afterAutospacing="1" w:line="276" w:lineRule="auto"/>
        <w:contextualSpacing/>
        <w:rPr>
          <w:rFonts w:eastAsia="Arial" w:cs="Arial"/>
          <w:b/>
          <w:szCs w:val="22"/>
        </w:rPr>
      </w:pPr>
    </w:p>
    <w:p w14:paraId="5650C765" w14:textId="17A52000" w:rsidR="00EB5846" w:rsidRPr="00EB5846" w:rsidRDefault="00EB5846" w:rsidP="004A72FB">
      <w:pPr>
        <w:spacing w:before="100" w:beforeAutospacing="1" w:after="100" w:afterAutospacing="1" w:line="276" w:lineRule="auto"/>
        <w:contextualSpacing/>
        <w:rPr>
          <w:rFonts w:eastAsia="Arial" w:cs="Arial"/>
          <w:b/>
          <w:szCs w:val="22"/>
        </w:rPr>
      </w:pPr>
    </w:p>
    <w:p w14:paraId="34C95EF1" w14:textId="77777777" w:rsidR="00EB5846" w:rsidRPr="00EB5846" w:rsidRDefault="00EB5846" w:rsidP="004A72FB">
      <w:pPr>
        <w:spacing w:before="100" w:beforeAutospacing="1" w:after="100" w:afterAutospacing="1" w:line="276" w:lineRule="auto"/>
        <w:contextualSpacing/>
        <w:rPr>
          <w:rFonts w:eastAsia="Arial" w:cs="Arial"/>
          <w:b/>
          <w:szCs w:val="22"/>
        </w:rPr>
      </w:pPr>
    </w:p>
    <w:p w14:paraId="3EEB4913" w14:textId="77777777" w:rsidR="00A90021" w:rsidRPr="00EB5846" w:rsidRDefault="00A90021" w:rsidP="004A72FB">
      <w:pPr>
        <w:spacing w:before="100" w:beforeAutospacing="1" w:after="100" w:afterAutospacing="1" w:line="276" w:lineRule="auto"/>
        <w:contextualSpacing/>
        <w:rPr>
          <w:rFonts w:eastAsia="Arial" w:cs="Arial"/>
          <w:b/>
          <w:szCs w:val="22"/>
        </w:rPr>
      </w:pPr>
    </w:p>
    <w:p w14:paraId="635F3BDC" w14:textId="77777777" w:rsidR="00A90021" w:rsidRPr="00EB5846" w:rsidRDefault="00A90021" w:rsidP="004A72FB">
      <w:pPr>
        <w:spacing w:before="100" w:beforeAutospacing="1" w:after="100" w:afterAutospacing="1" w:line="276" w:lineRule="auto"/>
        <w:contextualSpacing/>
        <w:rPr>
          <w:rFonts w:eastAsia="Arial" w:cs="Arial"/>
          <w:b/>
          <w:szCs w:val="22"/>
        </w:rPr>
      </w:pPr>
    </w:p>
    <w:p w14:paraId="57885E95"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r w:rsidRPr="00EB5846">
        <w:rPr>
          <w:rFonts w:eastAsia="Arial" w:cs="Arial"/>
          <w:szCs w:val="22"/>
        </w:rPr>
        <w:t>INSTITUTO DISTRITAL DE RECREACIÓN Y DEPORTE – IDRD</w:t>
      </w:r>
    </w:p>
    <w:p w14:paraId="25A1570B"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3994FD77"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23CC881D"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788E77C1" w14:textId="6913596C" w:rsidR="00A90021" w:rsidRPr="00EB5846" w:rsidRDefault="00A90021" w:rsidP="00807F20">
      <w:pPr>
        <w:spacing w:before="100" w:beforeAutospacing="1" w:after="100" w:afterAutospacing="1" w:line="276" w:lineRule="auto"/>
        <w:contextualSpacing/>
        <w:jc w:val="center"/>
        <w:rPr>
          <w:rFonts w:eastAsia="Arial" w:cs="Arial"/>
          <w:szCs w:val="22"/>
        </w:rPr>
      </w:pPr>
    </w:p>
    <w:p w14:paraId="265A697C" w14:textId="3D9DE954" w:rsidR="00EB5846" w:rsidRPr="00EB5846" w:rsidRDefault="00EB5846" w:rsidP="00807F20">
      <w:pPr>
        <w:spacing w:before="100" w:beforeAutospacing="1" w:after="100" w:afterAutospacing="1" w:line="276" w:lineRule="auto"/>
        <w:contextualSpacing/>
        <w:jc w:val="center"/>
        <w:rPr>
          <w:rFonts w:eastAsia="Arial" w:cs="Arial"/>
          <w:szCs w:val="22"/>
        </w:rPr>
      </w:pPr>
    </w:p>
    <w:p w14:paraId="6E0D1846" w14:textId="1CC88CFA" w:rsidR="00EB5846" w:rsidRPr="00EB5846" w:rsidRDefault="00EB5846" w:rsidP="00807F20">
      <w:pPr>
        <w:spacing w:before="100" w:beforeAutospacing="1" w:after="100" w:afterAutospacing="1" w:line="276" w:lineRule="auto"/>
        <w:contextualSpacing/>
        <w:jc w:val="center"/>
        <w:rPr>
          <w:rFonts w:eastAsia="Arial" w:cs="Arial"/>
          <w:szCs w:val="22"/>
        </w:rPr>
      </w:pPr>
    </w:p>
    <w:p w14:paraId="0C95224D" w14:textId="5DCC20DE" w:rsidR="00A90021" w:rsidRPr="00EB5846" w:rsidRDefault="00A90021" w:rsidP="00807F20">
      <w:pPr>
        <w:spacing w:before="100" w:beforeAutospacing="1" w:after="100" w:afterAutospacing="1" w:line="276" w:lineRule="auto"/>
        <w:contextualSpacing/>
        <w:jc w:val="center"/>
        <w:rPr>
          <w:rFonts w:eastAsia="Arial" w:cs="Arial"/>
          <w:szCs w:val="22"/>
        </w:rPr>
      </w:pPr>
    </w:p>
    <w:p w14:paraId="505188C3"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62F881CC"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72984A98"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5772A11A" w14:textId="5CFD19D1" w:rsidR="00A90021" w:rsidRPr="00EB5846" w:rsidRDefault="00EB5846" w:rsidP="00807F20">
      <w:pPr>
        <w:spacing w:before="100" w:beforeAutospacing="1" w:after="100" w:afterAutospacing="1" w:line="276" w:lineRule="auto"/>
        <w:contextualSpacing/>
        <w:jc w:val="center"/>
        <w:rPr>
          <w:rFonts w:eastAsia="Arial" w:cs="Arial"/>
          <w:szCs w:val="22"/>
        </w:rPr>
      </w:pPr>
      <w:r w:rsidRPr="00EB5846">
        <w:rPr>
          <w:rFonts w:cs="Arial"/>
          <w:szCs w:val="22"/>
        </w:rPr>
        <w:t>INFORME SEGUIMIENTO A LA APLICACIÓN DEL NUEVO MARCO NORMATIVO CONTABLE</w:t>
      </w:r>
    </w:p>
    <w:p w14:paraId="639B5442"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58FC64CE"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65B42433"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3D03BC3A" w14:textId="7395A442" w:rsidR="00A90021" w:rsidRPr="00EB5846" w:rsidRDefault="00A90021" w:rsidP="00807F20">
      <w:pPr>
        <w:spacing w:before="100" w:beforeAutospacing="1" w:after="100" w:afterAutospacing="1" w:line="276" w:lineRule="auto"/>
        <w:contextualSpacing/>
        <w:jc w:val="center"/>
        <w:rPr>
          <w:rFonts w:eastAsia="Arial" w:cs="Arial"/>
          <w:szCs w:val="22"/>
        </w:rPr>
      </w:pPr>
    </w:p>
    <w:p w14:paraId="5358DA48"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12BAD480" w14:textId="0F031EB9" w:rsidR="00A90021" w:rsidRPr="00EB5846" w:rsidRDefault="00A90021" w:rsidP="00807F20">
      <w:pPr>
        <w:spacing w:before="100" w:beforeAutospacing="1" w:after="100" w:afterAutospacing="1" w:line="276" w:lineRule="auto"/>
        <w:contextualSpacing/>
        <w:jc w:val="center"/>
        <w:rPr>
          <w:rFonts w:eastAsia="Arial" w:cs="Arial"/>
          <w:szCs w:val="22"/>
        </w:rPr>
      </w:pPr>
    </w:p>
    <w:p w14:paraId="05BE53A9" w14:textId="77777777" w:rsidR="00EB5846" w:rsidRPr="00EB5846" w:rsidRDefault="00EB5846" w:rsidP="00807F20">
      <w:pPr>
        <w:spacing w:before="100" w:beforeAutospacing="1" w:after="100" w:afterAutospacing="1" w:line="276" w:lineRule="auto"/>
        <w:contextualSpacing/>
        <w:jc w:val="center"/>
        <w:rPr>
          <w:rFonts w:eastAsia="Arial" w:cs="Arial"/>
          <w:szCs w:val="22"/>
        </w:rPr>
      </w:pPr>
    </w:p>
    <w:p w14:paraId="2476EBE6" w14:textId="77777777" w:rsidR="00A90021" w:rsidRPr="00EB5846" w:rsidRDefault="00A90021" w:rsidP="00807F20">
      <w:pPr>
        <w:spacing w:before="100" w:beforeAutospacing="1" w:after="100" w:afterAutospacing="1" w:line="276" w:lineRule="auto"/>
        <w:contextualSpacing/>
        <w:jc w:val="center"/>
        <w:rPr>
          <w:rFonts w:eastAsia="Arial" w:cs="Arial"/>
          <w:szCs w:val="22"/>
        </w:rPr>
      </w:pPr>
    </w:p>
    <w:p w14:paraId="01448F48" w14:textId="77777777" w:rsidR="00A90021" w:rsidRPr="00EB5846" w:rsidRDefault="00A90021" w:rsidP="00807F20">
      <w:pPr>
        <w:tabs>
          <w:tab w:val="left" w:pos="0"/>
        </w:tabs>
        <w:spacing w:before="100" w:beforeAutospacing="1" w:after="100" w:afterAutospacing="1" w:line="276" w:lineRule="auto"/>
        <w:contextualSpacing/>
        <w:jc w:val="center"/>
        <w:rPr>
          <w:rFonts w:eastAsia="Arial" w:cs="Arial"/>
          <w:szCs w:val="22"/>
        </w:rPr>
      </w:pPr>
      <w:r w:rsidRPr="00EB5846">
        <w:rPr>
          <w:rFonts w:eastAsia="Arial" w:cs="Arial"/>
          <w:szCs w:val="22"/>
        </w:rPr>
        <w:t>OFICINA DE CONTROL INTERNO</w:t>
      </w:r>
    </w:p>
    <w:p w14:paraId="3E395D87" w14:textId="77777777" w:rsidR="00A90021" w:rsidRPr="00EB5846" w:rsidRDefault="00A90021" w:rsidP="00807F20">
      <w:pPr>
        <w:tabs>
          <w:tab w:val="left" w:pos="180"/>
        </w:tabs>
        <w:spacing w:before="100" w:beforeAutospacing="1" w:after="100" w:afterAutospacing="1" w:line="276" w:lineRule="auto"/>
        <w:contextualSpacing/>
        <w:jc w:val="center"/>
        <w:rPr>
          <w:rFonts w:eastAsia="Arial" w:cs="Arial"/>
          <w:szCs w:val="22"/>
        </w:rPr>
      </w:pPr>
    </w:p>
    <w:p w14:paraId="39C5C981" w14:textId="77777777" w:rsidR="00A90021" w:rsidRPr="00EB5846" w:rsidRDefault="00A90021" w:rsidP="00807F20">
      <w:pPr>
        <w:tabs>
          <w:tab w:val="left" w:pos="180"/>
        </w:tabs>
        <w:spacing w:before="100" w:beforeAutospacing="1" w:after="100" w:afterAutospacing="1" w:line="276" w:lineRule="auto"/>
        <w:contextualSpacing/>
        <w:jc w:val="center"/>
        <w:rPr>
          <w:rFonts w:eastAsia="Arial" w:cs="Arial"/>
          <w:szCs w:val="22"/>
        </w:rPr>
      </w:pPr>
    </w:p>
    <w:p w14:paraId="73D02769" w14:textId="77777777" w:rsidR="00A90021" w:rsidRPr="00EB5846" w:rsidRDefault="00A90021" w:rsidP="00807F20">
      <w:pPr>
        <w:tabs>
          <w:tab w:val="left" w:pos="180"/>
        </w:tabs>
        <w:spacing w:before="100" w:beforeAutospacing="1" w:after="100" w:afterAutospacing="1" w:line="276" w:lineRule="auto"/>
        <w:contextualSpacing/>
        <w:jc w:val="center"/>
        <w:rPr>
          <w:rFonts w:eastAsia="Arial" w:cs="Arial"/>
          <w:szCs w:val="22"/>
        </w:rPr>
      </w:pPr>
    </w:p>
    <w:p w14:paraId="1384E746" w14:textId="77777777" w:rsidR="00A90021" w:rsidRPr="00EB5846" w:rsidRDefault="00A90021" w:rsidP="00807F20">
      <w:pPr>
        <w:tabs>
          <w:tab w:val="left" w:pos="180"/>
        </w:tabs>
        <w:spacing w:before="100" w:beforeAutospacing="1" w:after="100" w:afterAutospacing="1" w:line="276" w:lineRule="auto"/>
        <w:contextualSpacing/>
        <w:jc w:val="center"/>
        <w:rPr>
          <w:rFonts w:eastAsia="Arial" w:cs="Arial"/>
          <w:szCs w:val="22"/>
        </w:rPr>
      </w:pPr>
    </w:p>
    <w:p w14:paraId="6CA93348" w14:textId="77777777" w:rsidR="00A90021" w:rsidRPr="00EB5846" w:rsidRDefault="00A90021" w:rsidP="00807F20">
      <w:pPr>
        <w:tabs>
          <w:tab w:val="left" w:pos="180"/>
        </w:tabs>
        <w:spacing w:before="100" w:beforeAutospacing="1" w:after="100" w:afterAutospacing="1" w:line="276" w:lineRule="auto"/>
        <w:contextualSpacing/>
        <w:jc w:val="center"/>
        <w:rPr>
          <w:rFonts w:eastAsia="Arial" w:cs="Arial"/>
          <w:szCs w:val="22"/>
        </w:rPr>
      </w:pPr>
    </w:p>
    <w:p w14:paraId="32213C9B" w14:textId="4EED32D0" w:rsidR="00A90021" w:rsidRPr="00EB5846" w:rsidRDefault="00A90021" w:rsidP="00807F20">
      <w:pPr>
        <w:tabs>
          <w:tab w:val="left" w:pos="180"/>
        </w:tabs>
        <w:spacing w:before="100" w:beforeAutospacing="1" w:after="100" w:afterAutospacing="1" w:line="276" w:lineRule="auto"/>
        <w:contextualSpacing/>
        <w:jc w:val="center"/>
        <w:rPr>
          <w:rFonts w:eastAsia="Arial" w:cs="Arial"/>
          <w:szCs w:val="22"/>
        </w:rPr>
      </w:pPr>
    </w:p>
    <w:p w14:paraId="7CC34697" w14:textId="6A77FC19" w:rsidR="00EB5846" w:rsidRPr="00EB5846" w:rsidRDefault="00EB5846" w:rsidP="00807F20">
      <w:pPr>
        <w:tabs>
          <w:tab w:val="left" w:pos="180"/>
        </w:tabs>
        <w:spacing w:before="100" w:beforeAutospacing="1" w:after="100" w:afterAutospacing="1" w:line="276" w:lineRule="auto"/>
        <w:contextualSpacing/>
        <w:jc w:val="center"/>
        <w:rPr>
          <w:rFonts w:eastAsia="Arial" w:cs="Arial"/>
          <w:szCs w:val="22"/>
        </w:rPr>
      </w:pPr>
    </w:p>
    <w:p w14:paraId="180F44FE" w14:textId="1CD68C0F" w:rsidR="00EB5846" w:rsidRPr="00EB5846" w:rsidRDefault="00EB5846" w:rsidP="00807F20">
      <w:pPr>
        <w:tabs>
          <w:tab w:val="left" w:pos="180"/>
        </w:tabs>
        <w:spacing w:before="100" w:beforeAutospacing="1" w:after="100" w:afterAutospacing="1" w:line="276" w:lineRule="auto"/>
        <w:contextualSpacing/>
        <w:jc w:val="center"/>
        <w:rPr>
          <w:rFonts w:eastAsia="Arial" w:cs="Arial"/>
          <w:szCs w:val="22"/>
        </w:rPr>
      </w:pPr>
    </w:p>
    <w:p w14:paraId="6DC7CF5F" w14:textId="065A2489" w:rsidR="00EB5846" w:rsidRPr="00EB5846" w:rsidRDefault="00EB5846" w:rsidP="00807F20">
      <w:pPr>
        <w:tabs>
          <w:tab w:val="left" w:pos="180"/>
        </w:tabs>
        <w:spacing w:before="100" w:beforeAutospacing="1" w:after="100" w:afterAutospacing="1" w:line="276" w:lineRule="auto"/>
        <w:contextualSpacing/>
        <w:jc w:val="center"/>
        <w:rPr>
          <w:rFonts w:eastAsia="Arial" w:cs="Arial"/>
          <w:szCs w:val="22"/>
        </w:rPr>
      </w:pPr>
    </w:p>
    <w:p w14:paraId="401ECC11" w14:textId="14629E38" w:rsidR="00A90021" w:rsidRPr="00EB5846" w:rsidRDefault="00A90021" w:rsidP="00807F20">
      <w:pPr>
        <w:tabs>
          <w:tab w:val="left" w:pos="0"/>
        </w:tabs>
        <w:spacing w:before="100" w:beforeAutospacing="1" w:after="100" w:afterAutospacing="1" w:line="276" w:lineRule="auto"/>
        <w:contextualSpacing/>
        <w:jc w:val="center"/>
        <w:rPr>
          <w:rFonts w:eastAsia="Arial" w:cs="Arial"/>
          <w:szCs w:val="22"/>
        </w:rPr>
      </w:pPr>
    </w:p>
    <w:p w14:paraId="78878622" w14:textId="3D0F639F" w:rsidR="00A90021" w:rsidRPr="00EB5846" w:rsidRDefault="00EB5846" w:rsidP="00807F20">
      <w:pPr>
        <w:spacing w:before="100" w:beforeAutospacing="1" w:after="100" w:afterAutospacing="1" w:line="276" w:lineRule="auto"/>
        <w:contextualSpacing/>
        <w:jc w:val="center"/>
        <w:rPr>
          <w:rFonts w:eastAsia="Arial" w:cs="Arial"/>
          <w:szCs w:val="22"/>
        </w:rPr>
      </w:pPr>
      <w:r w:rsidRPr="00EB5846">
        <w:rPr>
          <w:rFonts w:eastAsia="Arial" w:cs="Arial"/>
          <w:szCs w:val="22"/>
        </w:rPr>
        <w:t xml:space="preserve">ABRIL </w:t>
      </w:r>
      <w:r w:rsidR="00A90021" w:rsidRPr="00EB5846">
        <w:rPr>
          <w:rFonts w:eastAsia="Arial" w:cs="Arial"/>
          <w:szCs w:val="22"/>
        </w:rPr>
        <w:t xml:space="preserve"> 202</w:t>
      </w:r>
      <w:r w:rsidR="006D1126" w:rsidRPr="00EB5846">
        <w:rPr>
          <w:rFonts w:eastAsia="Arial" w:cs="Arial"/>
          <w:szCs w:val="22"/>
        </w:rPr>
        <w:t>1</w:t>
      </w:r>
    </w:p>
    <w:p w14:paraId="663B7FA2" w14:textId="77777777" w:rsidR="001270D3" w:rsidRPr="00EB5846" w:rsidRDefault="001270D3" w:rsidP="004A72FB">
      <w:pPr>
        <w:pStyle w:val="TtuloTDC"/>
        <w:spacing w:before="100" w:beforeAutospacing="1" w:after="100" w:afterAutospacing="1" w:line="276" w:lineRule="auto"/>
        <w:contextualSpacing/>
        <w:jc w:val="both"/>
        <w:rPr>
          <w:rFonts w:ascii="Arial" w:hAnsi="Arial" w:cs="Arial"/>
          <w:b/>
          <w:color w:val="auto"/>
          <w:sz w:val="22"/>
          <w:szCs w:val="22"/>
          <w:lang w:val="es-ES"/>
        </w:rPr>
      </w:pPr>
      <w:bookmarkStart w:id="0" w:name="_Toc1726111"/>
    </w:p>
    <w:p w14:paraId="7D33D599" w14:textId="77777777" w:rsidR="001270D3" w:rsidRPr="00EB5846" w:rsidRDefault="001270D3" w:rsidP="00A5322E">
      <w:pPr>
        <w:pStyle w:val="TtuloTDC"/>
        <w:spacing w:before="100" w:beforeAutospacing="1" w:after="100" w:afterAutospacing="1" w:line="276" w:lineRule="auto"/>
        <w:contextualSpacing/>
        <w:rPr>
          <w:rFonts w:ascii="Arial" w:hAnsi="Arial" w:cs="Arial"/>
          <w:b/>
          <w:color w:val="auto"/>
          <w:sz w:val="22"/>
          <w:szCs w:val="22"/>
          <w:lang w:val="es-ES"/>
        </w:rPr>
      </w:pPr>
    </w:p>
    <w:p w14:paraId="078F48ED" w14:textId="757DFBDA" w:rsidR="00A90021" w:rsidRPr="00EB5846" w:rsidRDefault="00A90021" w:rsidP="00A5322E">
      <w:pPr>
        <w:pStyle w:val="TtuloTDC"/>
        <w:spacing w:before="100" w:beforeAutospacing="1" w:after="100" w:afterAutospacing="1" w:line="276" w:lineRule="auto"/>
        <w:contextualSpacing/>
        <w:jc w:val="center"/>
        <w:rPr>
          <w:rFonts w:ascii="Arial" w:hAnsi="Arial" w:cs="Arial"/>
          <w:b/>
          <w:color w:val="auto"/>
          <w:sz w:val="22"/>
          <w:szCs w:val="22"/>
          <w:lang w:val="es-ES"/>
        </w:rPr>
      </w:pPr>
      <w:r w:rsidRPr="00EB5846">
        <w:rPr>
          <w:rFonts w:ascii="Arial" w:hAnsi="Arial" w:cs="Arial"/>
          <w:b/>
          <w:color w:val="auto"/>
          <w:sz w:val="22"/>
          <w:szCs w:val="22"/>
          <w:lang w:val="es-ES"/>
        </w:rPr>
        <w:t>TABLA DE CONTENIDO</w:t>
      </w:r>
      <w:bookmarkEnd w:id="0"/>
    </w:p>
    <w:p w14:paraId="1EED5E74" w14:textId="77777777" w:rsidR="00A90021" w:rsidRPr="00EB5846" w:rsidRDefault="00A90021" w:rsidP="004A72FB">
      <w:pPr>
        <w:spacing w:before="100" w:beforeAutospacing="1" w:after="100" w:afterAutospacing="1" w:line="276" w:lineRule="auto"/>
        <w:contextualSpacing/>
        <w:rPr>
          <w:rFonts w:cs="Arial"/>
          <w:szCs w:val="22"/>
          <w:lang w:eastAsia="es-CO"/>
        </w:rPr>
      </w:pPr>
    </w:p>
    <w:sdt>
      <w:sdtPr>
        <w:rPr>
          <w:rFonts w:ascii="Arial" w:eastAsia="Times New Roman" w:hAnsi="Arial" w:cs="Arial"/>
          <w:color w:val="auto"/>
          <w:sz w:val="22"/>
          <w:szCs w:val="22"/>
          <w:lang w:val="es-ES" w:eastAsia="es-ES"/>
        </w:rPr>
        <w:id w:val="1586042167"/>
        <w:docPartObj>
          <w:docPartGallery w:val="Table of Contents"/>
          <w:docPartUnique/>
        </w:docPartObj>
      </w:sdtPr>
      <w:sdtEndPr>
        <w:rPr>
          <w:b/>
          <w:bCs/>
        </w:rPr>
      </w:sdtEndPr>
      <w:sdtContent>
        <w:p w14:paraId="496C175A" w14:textId="5C5773E0" w:rsidR="00A90021" w:rsidRPr="00EB5846" w:rsidRDefault="00A90021" w:rsidP="004A72FB">
          <w:pPr>
            <w:pStyle w:val="TtuloTDC"/>
            <w:spacing w:before="100" w:beforeAutospacing="1" w:after="100" w:afterAutospacing="1" w:line="276" w:lineRule="auto"/>
            <w:contextualSpacing/>
            <w:jc w:val="both"/>
            <w:rPr>
              <w:rFonts w:ascii="Arial" w:hAnsi="Arial" w:cs="Arial"/>
              <w:color w:val="auto"/>
              <w:sz w:val="22"/>
              <w:szCs w:val="22"/>
            </w:rPr>
          </w:pPr>
        </w:p>
        <w:p w14:paraId="2E0A7FAF" w14:textId="77069782" w:rsidR="00262771" w:rsidRDefault="00A90021">
          <w:pPr>
            <w:pStyle w:val="TDC1"/>
            <w:tabs>
              <w:tab w:val="right" w:leader="dot" w:pos="8828"/>
            </w:tabs>
            <w:rPr>
              <w:rFonts w:asciiTheme="minorHAnsi" w:eastAsiaTheme="minorEastAsia" w:hAnsiTheme="minorHAnsi" w:cstheme="minorBidi"/>
              <w:noProof/>
              <w:szCs w:val="22"/>
              <w:lang w:val="es-CO" w:eastAsia="es-CO"/>
            </w:rPr>
          </w:pPr>
          <w:r w:rsidRPr="00EB5846">
            <w:rPr>
              <w:rFonts w:cs="Arial"/>
              <w:szCs w:val="22"/>
            </w:rPr>
            <w:fldChar w:fldCharType="begin"/>
          </w:r>
          <w:r w:rsidRPr="00EB5846">
            <w:rPr>
              <w:rFonts w:cs="Arial"/>
              <w:szCs w:val="22"/>
            </w:rPr>
            <w:instrText xml:space="preserve"> TOC \o "1-3" \h \z \u </w:instrText>
          </w:r>
          <w:r w:rsidRPr="00EB5846">
            <w:rPr>
              <w:rFonts w:cs="Arial"/>
              <w:szCs w:val="22"/>
            </w:rPr>
            <w:fldChar w:fldCharType="separate"/>
          </w:r>
          <w:hyperlink w:anchor="_Toc70927269" w:history="1">
            <w:r w:rsidR="00262771" w:rsidRPr="007A2C3D">
              <w:rPr>
                <w:rStyle w:val="Hipervnculo"/>
                <w:rFonts w:cs="Arial"/>
                <w:noProof/>
              </w:rPr>
              <w:t>I. PRESENTACIÓN</w:t>
            </w:r>
            <w:r w:rsidR="00262771">
              <w:rPr>
                <w:noProof/>
                <w:webHidden/>
              </w:rPr>
              <w:tab/>
            </w:r>
            <w:r w:rsidR="00262771">
              <w:rPr>
                <w:noProof/>
                <w:webHidden/>
              </w:rPr>
              <w:fldChar w:fldCharType="begin"/>
            </w:r>
            <w:r w:rsidR="00262771">
              <w:rPr>
                <w:noProof/>
                <w:webHidden/>
              </w:rPr>
              <w:instrText xml:space="preserve"> PAGEREF _Toc70927269 \h </w:instrText>
            </w:r>
            <w:r w:rsidR="00262771">
              <w:rPr>
                <w:noProof/>
                <w:webHidden/>
              </w:rPr>
            </w:r>
            <w:r w:rsidR="00262771">
              <w:rPr>
                <w:noProof/>
                <w:webHidden/>
              </w:rPr>
              <w:fldChar w:fldCharType="separate"/>
            </w:r>
            <w:r w:rsidR="00262771">
              <w:rPr>
                <w:noProof/>
                <w:webHidden/>
              </w:rPr>
              <w:t>3</w:t>
            </w:r>
            <w:r w:rsidR="00262771">
              <w:rPr>
                <w:noProof/>
                <w:webHidden/>
              </w:rPr>
              <w:fldChar w:fldCharType="end"/>
            </w:r>
          </w:hyperlink>
        </w:p>
        <w:p w14:paraId="63D11A8A" w14:textId="5E8231D6" w:rsidR="00262771" w:rsidRDefault="00BF25BE">
          <w:pPr>
            <w:pStyle w:val="TDC1"/>
            <w:tabs>
              <w:tab w:val="right" w:leader="dot" w:pos="8828"/>
            </w:tabs>
            <w:rPr>
              <w:rFonts w:asciiTheme="minorHAnsi" w:eastAsiaTheme="minorEastAsia" w:hAnsiTheme="minorHAnsi" w:cstheme="minorBidi"/>
              <w:noProof/>
              <w:szCs w:val="22"/>
              <w:lang w:val="es-CO" w:eastAsia="es-CO"/>
            </w:rPr>
          </w:pPr>
          <w:hyperlink w:anchor="_Toc70927270" w:history="1">
            <w:r w:rsidR="00262771" w:rsidRPr="007A2C3D">
              <w:rPr>
                <w:rStyle w:val="Hipervnculo"/>
                <w:rFonts w:eastAsia="DejaVu Sans" w:cs="Arial"/>
                <w:noProof/>
                <w:kern w:val="3"/>
              </w:rPr>
              <w:t xml:space="preserve">II. </w:t>
            </w:r>
            <w:r w:rsidR="00262771" w:rsidRPr="007A2C3D">
              <w:rPr>
                <w:rStyle w:val="Hipervnculo"/>
                <w:rFonts w:cs="Arial"/>
                <w:noProof/>
              </w:rPr>
              <w:t>OBJETIVO</w:t>
            </w:r>
            <w:r w:rsidR="00262771">
              <w:rPr>
                <w:noProof/>
                <w:webHidden/>
              </w:rPr>
              <w:tab/>
            </w:r>
            <w:r w:rsidR="00262771">
              <w:rPr>
                <w:noProof/>
                <w:webHidden/>
              </w:rPr>
              <w:fldChar w:fldCharType="begin"/>
            </w:r>
            <w:r w:rsidR="00262771">
              <w:rPr>
                <w:noProof/>
                <w:webHidden/>
              </w:rPr>
              <w:instrText xml:space="preserve"> PAGEREF _Toc70927270 \h </w:instrText>
            </w:r>
            <w:r w:rsidR="00262771">
              <w:rPr>
                <w:noProof/>
                <w:webHidden/>
              </w:rPr>
            </w:r>
            <w:r w:rsidR="00262771">
              <w:rPr>
                <w:noProof/>
                <w:webHidden/>
              </w:rPr>
              <w:fldChar w:fldCharType="separate"/>
            </w:r>
            <w:r w:rsidR="00262771">
              <w:rPr>
                <w:noProof/>
                <w:webHidden/>
              </w:rPr>
              <w:t>3</w:t>
            </w:r>
            <w:r w:rsidR="00262771">
              <w:rPr>
                <w:noProof/>
                <w:webHidden/>
              </w:rPr>
              <w:fldChar w:fldCharType="end"/>
            </w:r>
          </w:hyperlink>
        </w:p>
        <w:p w14:paraId="67F40249" w14:textId="1AF050D2" w:rsidR="00262771" w:rsidRDefault="00BF25BE">
          <w:pPr>
            <w:pStyle w:val="TDC1"/>
            <w:tabs>
              <w:tab w:val="right" w:leader="dot" w:pos="8828"/>
            </w:tabs>
            <w:rPr>
              <w:rFonts w:asciiTheme="minorHAnsi" w:eastAsiaTheme="minorEastAsia" w:hAnsiTheme="minorHAnsi" w:cstheme="minorBidi"/>
              <w:noProof/>
              <w:szCs w:val="22"/>
              <w:lang w:val="es-CO" w:eastAsia="es-CO"/>
            </w:rPr>
          </w:pPr>
          <w:hyperlink w:anchor="_Toc70927271" w:history="1">
            <w:r w:rsidR="00262771" w:rsidRPr="007A2C3D">
              <w:rPr>
                <w:rStyle w:val="Hipervnculo"/>
                <w:rFonts w:cs="Arial"/>
                <w:noProof/>
              </w:rPr>
              <w:t>III. METODOLOGÍA</w:t>
            </w:r>
            <w:r w:rsidR="00262771">
              <w:rPr>
                <w:noProof/>
                <w:webHidden/>
              </w:rPr>
              <w:tab/>
            </w:r>
            <w:r w:rsidR="00262771">
              <w:rPr>
                <w:noProof/>
                <w:webHidden/>
              </w:rPr>
              <w:fldChar w:fldCharType="begin"/>
            </w:r>
            <w:r w:rsidR="00262771">
              <w:rPr>
                <w:noProof/>
                <w:webHidden/>
              </w:rPr>
              <w:instrText xml:space="preserve"> PAGEREF _Toc70927271 \h </w:instrText>
            </w:r>
            <w:r w:rsidR="00262771">
              <w:rPr>
                <w:noProof/>
                <w:webHidden/>
              </w:rPr>
            </w:r>
            <w:r w:rsidR="00262771">
              <w:rPr>
                <w:noProof/>
                <w:webHidden/>
              </w:rPr>
              <w:fldChar w:fldCharType="separate"/>
            </w:r>
            <w:r w:rsidR="00262771">
              <w:rPr>
                <w:noProof/>
                <w:webHidden/>
              </w:rPr>
              <w:t>3</w:t>
            </w:r>
            <w:r w:rsidR="00262771">
              <w:rPr>
                <w:noProof/>
                <w:webHidden/>
              </w:rPr>
              <w:fldChar w:fldCharType="end"/>
            </w:r>
          </w:hyperlink>
        </w:p>
        <w:p w14:paraId="1708A8C7" w14:textId="1A6D1F55" w:rsidR="00262771" w:rsidRDefault="00BF25BE">
          <w:pPr>
            <w:pStyle w:val="TDC1"/>
            <w:tabs>
              <w:tab w:val="right" w:leader="dot" w:pos="8828"/>
            </w:tabs>
            <w:rPr>
              <w:rFonts w:asciiTheme="minorHAnsi" w:eastAsiaTheme="minorEastAsia" w:hAnsiTheme="minorHAnsi" w:cstheme="minorBidi"/>
              <w:noProof/>
              <w:szCs w:val="22"/>
              <w:lang w:val="es-CO" w:eastAsia="es-CO"/>
            </w:rPr>
          </w:pPr>
          <w:hyperlink w:anchor="_Toc70927272" w:history="1">
            <w:r w:rsidR="00262771" w:rsidRPr="007A2C3D">
              <w:rPr>
                <w:rStyle w:val="Hipervnculo"/>
                <w:rFonts w:cs="Arial"/>
                <w:noProof/>
              </w:rPr>
              <w:t>IV. RESULTADOS</w:t>
            </w:r>
            <w:r w:rsidR="00262771">
              <w:rPr>
                <w:noProof/>
                <w:webHidden/>
              </w:rPr>
              <w:tab/>
            </w:r>
            <w:r w:rsidR="00262771">
              <w:rPr>
                <w:noProof/>
                <w:webHidden/>
              </w:rPr>
              <w:fldChar w:fldCharType="begin"/>
            </w:r>
            <w:r w:rsidR="00262771">
              <w:rPr>
                <w:noProof/>
                <w:webHidden/>
              </w:rPr>
              <w:instrText xml:space="preserve"> PAGEREF _Toc70927272 \h </w:instrText>
            </w:r>
            <w:r w:rsidR="00262771">
              <w:rPr>
                <w:noProof/>
                <w:webHidden/>
              </w:rPr>
            </w:r>
            <w:r w:rsidR="00262771">
              <w:rPr>
                <w:noProof/>
                <w:webHidden/>
              </w:rPr>
              <w:fldChar w:fldCharType="separate"/>
            </w:r>
            <w:r w:rsidR="00262771">
              <w:rPr>
                <w:noProof/>
                <w:webHidden/>
              </w:rPr>
              <w:t>4</w:t>
            </w:r>
            <w:r w:rsidR="00262771">
              <w:rPr>
                <w:noProof/>
                <w:webHidden/>
              </w:rPr>
              <w:fldChar w:fldCharType="end"/>
            </w:r>
          </w:hyperlink>
        </w:p>
        <w:p w14:paraId="423F903E" w14:textId="3EF17F82" w:rsidR="00262771" w:rsidRDefault="00BF25BE">
          <w:pPr>
            <w:pStyle w:val="TDC1"/>
            <w:tabs>
              <w:tab w:val="left" w:pos="440"/>
              <w:tab w:val="right" w:leader="dot" w:pos="8828"/>
            </w:tabs>
            <w:rPr>
              <w:rFonts w:asciiTheme="minorHAnsi" w:eastAsiaTheme="minorEastAsia" w:hAnsiTheme="minorHAnsi" w:cstheme="minorBidi"/>
              <w:noProof/>
              <w:szCs w:val="22"/>
              <w:lang w:val="es-CO" w:eastAsia="es-CO"/>
            </w:rPr>
          </w:pPr>
          <w:hyperlink w:anchor="_Toc70927273" w:history="1">
            <w:r w:rsidR="00262771" w:rsidRPr="007A2C3D">
              <w:rPr>
                <w:rStyle w:val="Hipervnculo"/>
                <w:rFonts w:cs="Arial"/>
                <w:noProof/>
              </w:rPr>
              <w:t>V.</w:t>
            </w:r>
            <w:r w:rsidR="00262771">
              <w:rPr>
                <w:rFonts w:asciiTheme="minorHAnsi" w:eastAsiaTheme="minorEastAsia" w:hAnsiTheme="minorHAnsi" w:cstheme="minorBidi"/>
                <w:noProof/>
                <w:szCs w:val="22"/>
                <w:lang w:val="es-CO" w:eastAsia="es-CO"/>
              </w:rPr>
              <w:t xml:space="preserve"> </w:t>
            </w:r>
            <w:r w:rsidR="00262771" w:rsidRPr="007A2C3D">
              <w:rPr>
                <w:rStyle w:val="Hipervnculo"/>
                <w:rFonts w:cs="Arial"/>
                <w:noProof/>
              </w:rPr>
              <w:t>CONCLUSIONES</w:t>
            </w:r>
            <w:r w:rsidR="00262771">
              <w:rPr>
                <w:noProof/>
                <w:webHidden/>
              </w:rPr>
              <w:tab/>
            </w:r>
            <w:r w:rsidR="00262771">
              <w:rPr>
                <w:noProof/>
                <w:webHidden/>
              </w:rPr>
              <w:fldChar w:fldCharType="begin"/>
            </w:r>
            <w:r w:rsidR="00262771">
              <w:rPr>
                <w:noProof/>
                <w:webHidden/>
              </w:rPr>
              <w:instrText xml:space="preserve"> PAGEREF _Toc70927273 \h </w:instrText>
            </w:r>
            <w:r w:rsidR="00262771">
              <w:rPr>
                <w:noProof/>
                <w:webHidden/>
              </w:rPr>
            </w:r>
            <w:r w:rsidR="00262771">
              <w:rPr>
                <w:noProof/>
                <w:webHidden/>
              </w:rPr>
              <w:fldChar w:fldCharType="separate"/>
            </w:r>
            <w:r w:rsidR="00262771">
              <w:rPr>
                <w:noProof/>
                <w:webHidden/>
              </w:rPr>
              <w:t>7</w:t>
            </w:r>
            <w:r w:rsidR="00262771">
              <w:rPr>
                <w:noProof/>
                <w:webHidden/>
              </w:rPr>
              <w:fldChar w:fldCharType="end"/>
            </w:r>
          </w:hyperlink>
        </w:p>
        <w:p w14:paraId="1B8D6BF9" w14:textId="1C28D8D7" w:rsidR="00262771" w:rsidRDefault="00BF25BE">
          <w:pPr>
            <w:pStyle w:val="TDC1"/>
            <w:tabs>
              <w:tab w:val="left" w:pos="660"/>
              <w:tab w:val="right" w:leader="dot" w:pos="8828"/>
            </w:tabs>
            <w:rPr>
              <w:rFonts w:asciiTheme="minorHAnsi" w:eastAsiaTheme="minorEastAsia" w:hAnsiTheme="minorHAnsi" w:cstheme="minorBidi"/>
              <w:noProof/>
              <w:szCs w:val="22"/>
              <w:lang w:val="es-CO" w:eastAsia="es-CO"/>
            </w:rPr>
          </w:pPr>
          <w:hyperlink w:anchor="_Toc70927274" w:history="1">
            <w:r w:rsidR="00262771" w:rsidRPr="007A2C3D">
              <w:rPr>
                <w:rStyle w:val="Hipervnculo"/>
                <w:rFonts w:cs="Arial"/>
                <w:noProof/>
              </w:rPr>
              <w:t>VI.</w:t>
            </w:r>
            <w:r w:rsidR="00262771">
              <w:rPr>
                <w:rFonts w:asciiTheme="minorHAnsi" w:eastAsiaTheme="minorEastAsia" w:hAnsiTheme="minorHAnsi" w:cstheme="minorBidi"/>
                <w:noProof/>
                <w:szCs w:val="22"/>
                <w:lang w:val="es-CO" w:eastAsia="es-CO"/>
              </w:rPr>
              <w:t xml:space="preserve"> </w:t>
            </w:r>
            <w:r w:rsidR="00262771" w:rsidRPr="007A2C3D">
              <w:rPr>
                <w:rStyle w:val="Hipervnculo"/>
                <w:rFonts w:cs="Arial"/>
                <w:noProof/>
              </w:rPr>
              <w:t>RECOMENDACIONES</w:t>
            </w:r>
            <w:r w:rsidR="00262771">
              <w:rPr>
                <w:noProof/>
                <w:webHidden/>
              </w:rPr>
              <w:tab/>
            </w:r>
            <w:r w:rsidR="00262771">
              <w:rPr>
                <w:noProof/>
                <w:webHidden/>
              </w:rPr>
              <w:fldChar w:fldCharType="begin"/>
            </w:r>
            <w:r w:rsidR="00262771">
              <w:rPr>
                <w:noProof/>
                <w:webHidden/>
              </w:rPr>
              <w:instrText xml:space="preserve"> PAGEREF _Toc70927274 \h </w:instrText>
            </w:r>
            <w:r w:rsidR="00262771">
              <w:rPr>
                <w:noProof/>
                <w:webHidden/>
              </w:rPr>
            </w:r>
            <w:r w:rsidR="00262771">
              <w:rPr>
                <w:noProof/>
                <w:webHidden/>
              </w:rPr>
              <w:fldChar w:fldCharType="separate"/>
            </w:r>
            <w:r w:rsidR="00262771">
              <w:rPr>
                <w:noProof/>
                <w:webHidden/>
              </w:rPr>
              <w:t>8</w:t>
            </w:r>
            <w:r w:rsidR="00262771">
              <w:rPr>
                <w:noProof/>
                <w:webHidden/>
              </w:rPr>
              <w:fldChar w:fldCharType="end"/>
            </w:r>
          </w:hyperlink>
        </w:p>
        <w:p w14:paraId="1B73F3F2" w14:textId="0DF64FAC" w:rsidR="00262771" w:rsidRDefault="00BF25BE">
          <w:pPr>
            <w:pStyle w:val="TDC1"/>
            <w:tabs>
              <w:tab w:val="right" w:leader="dot" w:pos="8828"/>
            </w:tabs>
            <w:rPr>
              <w:rFonts w:asciiTheme="minorHAnsi" w:eastAsiaTheme="minorEastAsia" w:hAnsiTheme="minorHAnsi" w:cstheme="minorBidi"/>
              <w:noProof/>
              <w:szCs w:val="22"/>
              <w:lang w:val="es-CO" w:eastAsia="es-CO"/>
            </w:rPr>
          </w:pPr>
          <w:hyperlink w:anchor="_Toc70927275" w:history="1">
            <w:r w:rsidR="00262771" w:rsidRPr="007A2C3D">
              <w:rPr>
                <w:rStyle w:val="Hipervnculo"/>
                <w:rFonts w:eastAsia="Arial"/>
                <w:noProof/>
              </w:rPr>
              <w:t>ANEXO 1. SEGUIMIENTO AL PLAN DE SOSTENIBILIDAD CONTABLE V.2</w:t>
            </w:r>
            <w:r w:rsidR="00262771">
              <w:rPr>
                <w:noProof/>
                <w:webHidden/>
              </w:rPr>
              <w:tab/>
            </w:r>
            <w:r w:rsidR="00262771">
              <w:rPr>
                <w:noProof/>
                <w:webHidden/>
              </w:rPr>
              <w:fldChar w:fldCharType="begin"/>
            </w:r>
            <w:r w:rsidR="00262771">
              <w:rPr>
                <w:noProof/>
                <w:webHidden/>
              </w:rPr>
              <w:instrText xml:space="preserve"> PAGEREF _Toc70927275 \h </w:instrText>
            </w:r>
            <w:r w:rsidR="00262771">
              <w:rPr>
                <w:noProof/>
                <w:webHidden/>
              </w:rPr>
            </w:r>
            <w:r w:rsidR="00262771">
              <w:rPr>
                <w:noProof/>
                <w:webHidden/>
              </w:rPr>
              <w:fldChar w:fldCharType="separate"/>
            </w:r>
            <w:r w:rsidR="00262771">
              <w:rPr>
                <w:noProof/>
                <w:webHidden/>
              </w:rPr>
              <w:t>9</w:t>
            </w:r>
            <w:r w:rsidR="00262771">
              <w:rPr>
                <w:noProof/>
                <w:webHidden/>
              </w:rPr>
              <w:fldChar w:fldCharType="end"/>
            </w:r>
          </w:hyperlink>
        </w:p>
        <w:p w14:paraId="52C8B282" w14:textId="4FACAA34" w:rsidR="00A90021" w:rsidRPr="00EB5846" w:rsidRDefault="00A90021" w:rsidP="004A72FB">
          <w:pPr>
            <w:spacing w:before="100" w:beforeAutospacing="1" w:after="100" w:afterAutospacing="1" w:line="276" w:lineRule="auto"/>
            <w:contextualSpacing/>
            <w:rPr>
              <w:rFonts w:cs="Arial"/>
              <w:szCs w:val="22"/>
            </w:rPr>
          </w:pPr>
          <w:r w:rsidRPr="00EB5846">
            <w:rPr>
              <w:rFonts w:cs="Arial"/>
              <w:b/>
              <w:bCs/>
              <w:szCs w:val="22"/>
            </w:rPr>
            <w:fldChar w:fldCharType="end"/>
          </w:r>
        </w:p>
      </w:sdtContent>
    </w:sdt>
    <w:p w14:paraId="69516992" w14:textId="677245B1" w:rsidR="00A90021" w:rsidRPr="00EB5846" w:rsidRDefault="00A90021" w:rsidP="004A72FB">
      <w:pPr>
        <w:spacing w:before="100" w:beforeAutospacing="1" w:after="100" w:afterAutospacing="1" w:line="276" w:lineRule="auto"/>
        <w:contextualSpacing/>
        <w:rPr>
          <w:rFonts w:cs="Arial"/>
          <w:szCs w:val="22"/>
        </w:rPr>
      </w:pPr>
    </w:p>
    <w:p w14:paraId="25E88F6A" w14:textId="7487D552" w:rsidR="00A90021" w:rsidRPr="00EB5846" w:rsidRDefault="00A90021" w:rsidP="004A72FB">
      <w:pPr>
        <w:spacing w:before="100" w:beforeAutospacing="1" w:after="100" w:afterAutospacing="1" w:line="276" w:lineRule="auto"/>
        <w:contextualSpacing/>
        <w:rPr>
          <w:rFonts w:cs="Arial"/>
          <w:szCs w:val="22"/>
        </w:rPr>
      </w:pPr>
    </w:p>
    <w:p w14:paraId="1A0FB09D" w14:textId="77157B8E" w:rsidR="00A90021" w:rsidRPr="00EB5846" w:rsidRDefault="00A90021" w:rsidP="004A72FB">
      <w:pPr>
        <w:spacing w:before="100" w:beforeAutospacing="1" w:after="100" w:afterAutospacing="1" w:line="276" w:lineRule="auto"/>
        <w:contextualSpacing/>
        <w:rPr>
          <w:rFonts w:cs="Arial"/>
          <w:szCs w:val="22"/>
        </w:rPr>
      </w:pPr>
    </w:p>
    <w:p w14:paraId="0E31EC27" w14:textId="58F6A07A" w:rsidR="00A90021" w:rsidRPr="00EB5846" w:rsidRDefault="00A90021" w:rsidP="004A72FB">
      <w:pPr>
        <w:spacing w:before="100" w:beforeAutospacing="1" w:after="100" w:afterAutospacing="1" w:line="276" w:lineRule="auto"/>
        <w:contextualSpacing/>
        <w:rPr>
          <w:rFonts w:cs="Arial"/>
          <w:szCs w:val="22"/>
        </w:rPr>
      </w:pPr>
    </w:p>
    <w:p w14:paraId="0877520C" w14:textId="660F71E6" w:rsidR="00A90021" w:rsidRPr="00EB5846" w:rsidRDefault="00A90021" w:rsidP="004A72FB">
      <w:pPr>
        <w:spacing w:before="100" w:beforeAutospacing="1" w:after="100" w:afterAutospacing="1" w:line="276" w:lineRule="auto"/>
        <w:contextualSpacing/>
        <w:rPr>
          <w:rFonts w:cs="Arial"/>
          <w:szCs w:val="22"/>
        </w:rPr>
      </w:pPr>
    </w:p>
    <w:p w14:paraId="79917398" w14:textId="401BAFD8" w:rsidR="00A90021" w:rsidRPr="00EB5846" w:rsidRDefault="00A90021" w:rsidP="004A72FB">
      <w:pPr>
        <w:spacing w:before="100" w:beforeAutospacing="1" w:after="100" w:afterAutospacing="1" w:line="276" w:lineRule="auto"/>
        <w:contextualSpacing/>
        <w:rPr>
          <w:rFonts w:cs="Arial"/>
          <w:szCs w:val="22"/>
        </w:rPr>
      </w:pPr>
    </w:p>
    <w:p w14:paraId="0135D354" w14:textId="67095D35" w:rsidR="00A90021" w:rsidRPr="00EB5846" w:rsidRDefault="00A90021" w:rsidP="004A72FB">
      <w:pPr>
        <w:spacing w:before="100" w:beforeAutospacing="1" w:after="100" w:afterAutospacing="1" w:line="276" w:lineRule="auto"/>
        <w:contextualSpacing/>
        <w:rPr>
          <w:rFonts w:cs="Arial"/>
          <w:szCs w:val="22"/>
        </w:rPr>
      </w:pPr>
    </w:p>
    <w:p w14:paraId="6D499F41" w14:textId="6232A3E6" w:rsidR="00A90021" w:rsidRPr="00EB5846" w:rsidRDefault="00A90021" w:rsidP="004A72FB">
      <w:pPr>
        <w:spacing w:before="100" w:beforeAutospacing="1" w:after="100" w:afterAutospacing="1" w:line="276" w:lineRule="auto"/>
        <w:contextualSpacing/>
        <w:rPr>
          <w:rFonts w:cs="Arial"/>
          <w:szCs w:val="22"/>
        </w:rPr>
      </w:pPr>
    </w:p>
    <w:p w14:paraId="4BC6876B" w14:textId="7954888A" w:rsidR="00A90021" w:rsidRPr="00EB5846" w:rsidRDefault="00A90021" w:rsidP="004A72FB">
      <w:pPr>
        <w:spacing w:before="100" w:beforeAutospacing="1" w:after="100" w:afterAutospacing="1" w:line="276" w:lineRule="auto"/>
        <w:contextualSpacing/>
        <w:rPr>
          <w:rFonts w:cs="Arial"/>
          <w:szCs w:val="22"/>
        </w:rPr>
      </w:pPr>
    </w:p>
    <w:p w14:paraId="3B0709D3" w14:textId="0A671259" w:rsidR="00A90021" w:rsidRPr="00EB5846" w:rsidRDefault="00A90021" w:rsidP="004A72FB">
      <w:pPr>
        <w:spacing w:before="100" w:beforeAutospacing="1" w:after="100" w:afterAutospacing="1" w:line="276" w:lineRule="auto"/>
        <w:contextualSpacing/>
        <w:rPr>
          <w:rFonts w:cs="Arial"/>
          <w:szCs w:val="22"/>
        </w:rPr>
      </w:pPr>
    </w:p>
    <w:p w14:paraId="2F379250" w14:textId="4EAD9D62" w:rsidR="00A90021" w:rsidRPr="00EB5846" w:rsidRDefault="00A90021" w:rsidP="004A72FB">
      <w:pPr>
        <w:spacing w:before="100" w:beforeAutospacing="1" w:after="100" w:afterAutospacing="1" w:line="276" w:lineRule="auto"/>
        <w:contextualSpacing/>
        <w:rPr>
          <w:rFonts w:cs="Arial"/>
          <w:szCs w:val="22"/>
        </w:rPr>
      </w:pPr>
    </w:p>
    <w:p w14:paraId="757B9EE0" w14:textId="08976F2F" w:rsidR="00A90021" w:rsidRPr="00EB5846" w:rsidRDefault="00A90021" w:rsidP="004A72FB">
      <w:pPr>
        <w:spacing w:before="100" w:beforeAutospacing="1" w:after="100" w:afterAutospacing="1" w:line="276" w:lineRule="auto"/>
        <w:contextualSpacing/>
        <w:rPr>
          <w:rFonts w:cs="Arial"/>
          <w:szCs w:val="22"/>
        </w:rPr>
      </w:pPr>
    </w:p>
    <w:p w14:paraId="34912110" w14:textId="71C6BE2F" w:rsidR="00A90021" w:rsidRPr="00EB5846" w:rsidRDefault="00A90021" w:rsidP="004A72FB">
      <w:pPr>
        <w:spacing w:before="100" w:beforeAutospacing="1" w:after="100" w:afterAutospacing="1" w:line="276" w:lineRule="auto"/>
        <w:contextualSpacing/>
        <w:rPr>
          <w:rFonts w:cs="Arial"/>
          <w:szCs w:val="22"/>
        </w:rPr>
      </w:pPr>
    </w:p>
    <w:p w14:paraId="707B0BBB" w14:textId="62EC8F15" w:rsidR="00A90021" w:rsidRPr="00EB5846" w:rsidRDefault="00A90021" w:rsidP="004A72FB">
      <w:pPr>
        <w:spacing w:before="100" w:beforeAutospacing="1" w:after="100" w:afterAutospacing="1" w:line="276" w:lineRule="auto"/>
        <w:contextualSpacing/>
        <w:rPr>
          <w:rFonts w:cs="Arial"/>
          <w:szCs w:val="22"/>
        </w:rPr>
      </w:pPr>
    </w:p>
    <w:p w14:paraId="283A1024" w14:textId="070A00D8" w:rsidR="00A90021" w:rsidRPr="00EB5846" w:rsidRDefault="00A90021" w:rsidP="004A72FB">
      <w:pPr>
        <w:spacing w:before="100" w:beforeAutospacing="1" w:after="100" w:afterAutospacing="1" w:line="276" w:lineRule="auto"/>
        <w:contextualSpacing/>
        <w:rPr>
          <w:rFonts w:cs="Arial"/>
          <w:szCs w:val="22"/>
        </w:rPr>
      </w:pPr>
    </w:p>
    <w:p w14:paraId="25CF09C7" w14:textId="5EA88EDC" w:rsidR="00A90021" w:rsidRPr="00EB5846" w:rsidRDefault="00A90021" w:rsidP="004A72FB">
      <w:pPr>
        <w:spacing w:before="100" w:beforeAutospacing="1" w:after="100" w:afterAutospacing="1" w:line="276" w:lineRule="auto"/>
        <w:contextualSpacing/>
        <w:rPr>
          <w:rFonts w:cs="Arial"/>
          <w:szCs w:val="22"/>
        </w:rPr>
      </w:pPr>
    </w:p>
    <w:p w14:paraId="037D8835" w14:textId="4B6C1D78" w:rsidR="00A90021" w:rsidRPr="00EB5846" w:rsidRDefault="00A90021" w:rsidP="004A72FB">
      <w:pPr>
        <w:spacing w:before="100" w:beforeAutospacing="1" w:after="100" w:afterAutospacing="1" w:line="276" w:lineRule="auto"/>
        <w:contextualSpacing/>
        <w:rPr>
          <w:rFonts w:cs="Arial"/>
          <w:szCs w:val="22"/>
        </w:rPr>
      </w:pPr>
    </w:p>
    <w:p w14:paraId="0DB3719E" w14:textId="2EFBAE27" w:rsidR="00A90021" w:rsidRDefault="00A90021" w:rsidP="004A72FB">
      <w:pPr>
        <w:spacing w:before="100" w:beforeAutospacing="1" w:after="100" w:afterAutospacing="1" w:line="276" w:lineRule="auto"/>
        <w:contextualSpacing/>
        <w:rPr>
          <w:rFonts w:cs="Arial"/>
          <w:szCs w:val="22"/>
        </w:rPr>
      </w:pPr>
    </w:p>
    <w:p w14:paraId="0854EB02" w14:textId="7DEAF92A" w:rsidR="00807F20" w:rsidRDefault="00807F20" w:rsidP="004A72FB">
      <w:pPr>
        <w:spacing w:before="100" w:beforeAutospacing="1" w:after="100" w:afterAutospacing="1" w:line="276" w:lineRule="auto"/>
        <w:contextualSpacing/>
        <w:rPr>
          <w:rFonts w:cs="Arial"/>
          <w:szCs w:val="22"/>
        </w:rPr>
      </w:pPr>
    </w:p>
    <w:p w14:paraId="3A65AF14" w14:textId="18D0F5CC" w:rsidR="00807F20" w:rsidRDefault="00807F20" w:rsidP="004A72FB">
      <w:pPr>
        <w:spacing w:before="100" w:beforeAutospacing="1" w:after="100" w:afterAutospacing="1" w:line="276" w:lineRule="auto"/>
        <w:contextualSpacing/>
        <w:rPr>
          <w:rFonts w:cs="Arial"/>
          <w:szCs w:val="22"/>
        </w:rPr>
      </w:pPr>
    </w:p>
    <w:p w14:paraId="2372605D" w14:textId="79926E04" w:rsidR="00807F20" w:rsidRDefault="00807F20" w:rsidP="004A72FB">
      <w:pPr>
        <w:spacing w:before="100" w:beforeAutospacing="1" w:after="100" w:afterAutospacing="1" w:line="276" w:lineRule="auto"/>
        <w:contextualSpacing/>
        <w:rPr>
          <w:rFonts w:cs="Arial"/>
          <w:szCs w:val="22"/>
        </w:rPr>
      </w:pPr>
    </w:p>
    <w:p w14:paraId="01938120" w14:textId="3F9F8470" w:rsidR="00807F20" w:rsidRDefault="00807F20" w:rsidP="004A72FB">
      <w:pPr>
        <w:spacing w:before="100" w:beforeAutospacing="1" w:after="100" w:afterAutospacing="1" w:line="276" w:lineRule="auto"/>
        <w:contextualSpacing/>
        <w:rPr>
          <w:rFonts w:cs="Arial"/>
          <w:szCs w:val="22"/>
        </w:rPr>
      </w:pPr>
    </w:p>
    <w:p w14:paraId="65A897E0" w14:textId="23A31AE2" w:rsidR="00807F20" w:rsidRDefault="00807F20" w:rsidP="004A72FB">
      <w:pPr>
        <w:spacing w:before="100" w:beforeAutospacing="1" w:after="100" w:afterAutospacing="1" w:line="276" w:lineRule="auto"/>
        <w:contextualSpacing/>
        <w:rPr>
          <w:rFonts w:cs="Arial"/>
          <w:szCs w:val="22"/>
        </w:rPr>
      </w:pPr>
    </w:p>
    <w:p w14:paraId="434B0A52" w14:textId="126FB5E4" w:rsidR="00807F20" w:rsidRDefault="00807F20" w:rsidP="004A72FB">
      <w:pPr>
        <w:spacing w:before="100" w:beforeAutospacing="1" w:after="100" w:afterAutospacing="1" w:line="276" w:lineRule="auto"/>
        <w:contextualSpacing/>
        <w:rPr>
          <w:rFonts w:cs="Arial"/>
          <w:szCs w:val="22"/>
        </w:rPr>
      </w:pPr>
    </w:p>
    <w:p w14:paraId="62A1B76E" w14:textId="4D86B66C" w:rsidR="00807F20" w:rsidRDefault="00807F20" w:rsidP="004A72FB">
      <w:pPr>
        <w:spacing w:before="100" w:beforeAutospacing="1" w:after="100" w:afterAutospacing="1" w:line="276" w:lineRule="auto"/>
        <w:contextualSpacing/>
        <w:rPr>
          <w:rFonts w:cs="Arial"/>
          <w:szCs w:val="22"/>
        </w:rPr>
      </w:pPr>
    </w:p>
    <w:p w14:paraId="44112281" w14:textId="77777777" w:rsidR="00807F20" w:rsidRPr="00EB5846" w:rsidRDefault="00807F20" w:rsidP="004A72FB">
      <w:pPr>
        <w:spacing w:before="100" w:beforeAutospacing="1" w:after="100" w:afterAutospacing="1" w:line="276" w:lineRule="auto"/>
        <w:contextualSpacing/>
        <w:rPr>
          <w:rFonts w:cs="Arial"/>
          <w:szCs w:val="22"/>
        </w:rPr>
      </w:pPr>
    </w:p>
    <w:p w14:paraId="25735B0E" w14:textId="1A830490" w:rsidR="001270D3" w:rsidRPr="00EB5846" w:rsidRDefault="001270D3" w:rsidP="004A72FB">
      <w:pPr>
        <w:spacing w:before="100" w:beforeAutospacing="1" w:after="100" w:afterAutospacing="1" w:line="276" w:lineRule="auto"/>
        <w:contextualSpacing/>
        <w:rPr>
          <w:rFonts w:cs="Arial"/>
          <w:szCs w:val="22"/>
        </w:rPr>
      </w:pPr>
    </w:p>
    <w:p w14:paraId="096E71D8" w14:textId="30C0E610" w:rsidR="00CA4E66" w:rsidRPr="00EB5846" w:rsidRDefault="00A90021" w:rsidP="004A72FB">
      <w:pPr>
        <w:pStyle w:val="Ttulo1"/>
        <w:tabs>
          <w:tab w:val="num" w:pos="0"/>
        </w:tabs>
        <w:spacing w:before="100" w:beforeAutospacing="1" w:after="100" w:afterAutospacing="1" w:line="276" w:lineRule="auto"/>
        <w:ind w:left="432" w:hanging="432"/>
        <w:contextualSpacing/>
        <w:textAlignment w:val="auto"/>
        <w:rPr>
          <w:rFonts w:cs="Arial"/>
          <w:szCs w:val="22"/>
        </w:rPr>
      </w:pPr>
      <w:bookmarkStart w:id="1" w:name="_Toc33428540"/>
      <w:bookmarkStart w:id="2" w:name="_Toc70927269"/>
      <w:r w:rsidRPr="00EB5846">
        <w:rPr>
          <w:rFonts w:cs="Arial"/>
          <w:szCs w:val="22"/>
        </w:rPr>
        <w:t>I. PRESENTACIÓN</w:t>
      </w:r>
      <w:bookmarkEnd w:id="1"/>
      <w:bookmarkEnd w:id="2"/>
    </w:p>
    <w:p w14:paraId="579A1FB7" w14:textId="77777777" w:rsidR="00DF6612" w:rsidRDefault="00DF6612" w:rsidP="00DF6612">
      <w:pPr>
        <w:pStyle w:val="Default"/>
        <w:spacing w:before="100" w:beforeAutospacing="1" w:after="100" w:afterAutospacing="1" w:line="276" w:lineRule="auto"/>
        <w:contextualSpacing/>
        <w:jc w:val="both"/>
        <w:rPr>
          <w:sz w:val="22"/>
          <w:szCs w:val="22"/>
        </w:rPr>
      </w:pPr>
      <w:r w:rsidRPr="00EB5846">
        <w:rPr>
          <w:sz w:val="22"/>
          <w:szCs w:val="22"/>
        </w:rPr>
        <w:t xml:space="preserve">De acuerdo con el artículo 2 de la Resolución 533 del 08 de octubre de 2015 emitida por la Contaduría General de la Nación, las entidades de gobierno que se encuentran bajo el ámbito del Régimen de Contabilidad Pública, como lo es el IDRD, deben aplicar el Nuevo Marco Normativo Contable - NMNC suscrito en dicha Resolución. </w:t>
      </w:r>
    </w:p>
    <w:p w14:paraId="4EBF9396" w14:textId="77777777" w:rsidR="00DF6612" w:rsidRPr="00EB5846" w:rsidRDefault="00DF6612" w:rsidP="00DF6612">
      <w:pPr>
        <w:pStyle w:val="Default"/>
        <w:spacing w:before="100" w:beforeAutospacing="1" w:after="100" w:afterAutospacing="1" w:line="276" w:lineRule="auto"/>
        <w:contextualSpacing/>
        <w:jc w:val="both"/>
        <w:rPr>
          <w:sz w:val="22"/>
          <w:szCs w:val="22"/>
        </w:rPr>
      </w:pPr>
    </w:p>
    <w:p w14:paraId="268DAEBF" w14:textId="77777777" w:rsidR="00DF6612" w:rsidRPr="00EB5846" w:rsidRDefault="00DF6612" w:rsidP="00DF6612">
      <w:pPr>
        <w:pStyle w:val="Default"/>
        <w:spacing w:before="100" w:beforeAutospacing="1" w:after="100" w:afterAutospacing="1" w:line="276" w:lineRule="auto"/>
        <w:contextualSpacing/>
        <w:jc w:val="both"/>
        <w:rPr>
          <w:sz w:val="22"/>
          <w:szCs w:val="22"/>
        </w:rPr>
      </w:pPr>
      <w:r w:rsidRPr="00EB5846">
        <w:rPr>
          <w:sz w:val="22"/>
          <w:szCs w:val="22"/>
        </w:rPr>
        <w:t>Una vez implementado el NMNC, el IDRD formuló el Plan de Sostenibilidad Contable</w:t>
      </w:r>
      <w:r>
        <w:rPr>
          <w:sz w:val="22"/>
          <w:szCs w:val="22"/>
        </w:rPr>
        <w:t xml:space="preserve"> - PSC v2</w:t>
      </w:r>
      <w:r w:rsidRPr="00EB5846">
        <w:rPr>
          <w:sz w:val="22"/>
          <w:szCs w:val="22"/>
        </w:rPr>
        <w:t xml:space="preserve"> definiéndolo como </w:t>
      </w:r>
      <w:r w:rsidRPr="003C76E1">
        <w:rPr>
          <w:iCs/>
          <w:sz w:val="22"/>
          <w:szCs w:val="22"/>
        </w:rPr>
        <w:t>el</w:t>
      </w:r>
      <w:r w:rsidRPr="003C76E1">
        <w:rPr>
          <w:i/>
          <w:iCs/>
          <w:sz w:val="22"/>
          <w:szCs w:val="22"/>
        </w:rPr>
        <w:t xml:space="preserve"> </w:t>
      </w:r>
      <w:r>
        <w:rPr>
          <w:i/>
          <w:iCs/>
          <w:sz w:val="22"/>
          <w:szCs w:val="22"/>
        </w:rPr>
        <w:t>“</w:t>
      </w:r>
      <w:r w:rsidRPr="003C76E1">
        <w:rPr>
          <w:i/>
          <w:iCs/>
          <w:sz w:val="22"/>
          <w:szCs w:val="22"/>
        </w:rPr>
        <w:t>marco general de acciones a ejecutar por las áreas de gestión para optimizar sus procesos y procedimientos con el objeto de garantizar la calidad, eficacia, confiabilidad y oportunidad de la información contable</w:t>
      </w:r>
      <w:r>
        <w:rPr>
          <w:i/>
          <w:iCs/>
          <w:sz w:val="22"/>
          <w:szCs w:val="22"/>
        </w:rPr>
        <w:t xml:space="preserve">”, </w:t>
      </w:r>
      <w:r w:rsidRPr="00614136">
        <w:rPr>
          <w:iCs/>
          <w:sz w:val="22"/>
          <w:szCs w:val="22"/>
        </w:rPr>
        <w:t>d</w:t>
      </w:r>
      <w:r w:rsidRPr="00614136">
        <w:rPr>
          <w:sz w:val="22"/>
          <w:szCs w:val="22"/>
        </w:rPr>
        <w:t>a</w:t>
      </w:r>
      <w:r w:rsidRPr="00EB5846">
        <w:rPr>
          <w:sz w:val="22"/>
          <w:szCs w:val="22"/>
        </w:rPr>
        <w:t>ndo cumplimiento al artículo 7 de la Resolución 03 del 5 de diciembre de 2018 emitido por la Dirección Distrital de Contabilidad - SDH, “</w:t>
      </w:r>
      <w:r w:rsidRPr="00EB5846">
        <w:rPr>
          <w:i/>
          <w:iCs/>
          <w:sz w:val="22"/>
          <w:szCs w:val="22"/>
        </w:rPr>
        <w:t xml:space="preserve">Por la cual se establecen lineamientos para la Sostenibilidad del Sistema Contable Público Distrital”. </w:t>
      </w:r>
    </w:p>
    <w:p w14:paraId="1FA16F38" w14:textId="70795173" w:rsidR="00375448" w:rsidRDefault="00DF6612" w:rsidP="00375448">
      <w:pPr>
        <w:spacing w:before="100" w:beforeAutospacing="1" w:after="100" w:afterAutospacing="1" w:line="276" w:lineRule="auto"/>
        <w:contextualSpacing/>
        <w:rPr>
          <w:rFonts w:cs="Arial"/>
          <w:szCs w:val="22"/>
        </w:rPr>
      </w:pPr>
      <w:r w:rsidRPr="00EB5846">
        <w:rPr>
          <w:rFonts w:cs="Arial"/>
          <w:szCs w:val="22"/>
        </w:rPr>
        <w:t xml:space="preserve">Así las cosas, la Oficina de Control Interno en cumplimiento del Rol </w:t>
      </w:r>
      <w:r w:rsidRPr="00EB5846">
        <w:rPr>
          <w:rFonts w:cs="Arial"/>
          <w:i/>
          <w:iCs/>
          <w:szCs w:val="22"/>
        </w:rPr>
        <w:t xml:space="preserve">Evaluación y Seguimiento </w:t>
      </w:r>
      <w:r w:rsidRPr="00EB5846">
        <w:rPr>
          <w:rFonts w:cs="Arial"/>
          <w:szCs w:val="22"/>
        </w:rPr>
        <w:t>de que trata el Decreto</w:t>
      </w:r>
      <w:r>
        <w:rPr>
          <w:rFonts w:cs="Arial"/>
          <w:szCs w:val="22"/>
        </w:rPr>
        <w:t xml:space="preserve"> 648 de 2017, realizó</w:t>
      </w:r>
      <w:r w:rsidRPr="00EB5846">
        <w:rPr>
          <w:rFonts w:cs="Arial"/>
          <w:szCs w:val="22"/>
        </w:rPr>
        <w:t xml:space="preserve"> seguimiento a la aplicación del NMNC de acuerdo con lo establecido en el</w:t>
      </w:r>
      <w:r>
        <w:rPr>
          <w:rFonts w:cs="Arial"/>
          <w:szCs w:val="22"/>
        </w:rPr>
        <w:t xml:space="preserve"> PSC v2</w:t>
      </w:r>
      <w:r w:rsidRPr="00EB5846">
        <w:rPr>
          <w:rFonts w:cs="Arial"/>
          <w:szCs w:val="22"/>
        </w:rPr>
        <w:t xml:space="preserve"> y presenta el siguiente informe de resultados.</w:t>
      </w:r>
      <w:bookmarkStart w:id="3" w:name="_Toc33428541"/>
    </w:p>
    <w:p w14:paraId="2B585DFA" w14:textId="616A4999" w:rsidR="00A90021" w:rsidRPr="00EB5846" w:rsidRDefault="00A90021" w:rsidP="004A72FB">
      <w:pPr>
        <w:pStyle w:val="Ttulo1"/>
        <w:tabs>
          <w:tab w:val="num" w:pos="0"/>
        </w:tabs>
        <w:spacing w:before="100" w:beforeAutospacing="1" w:after="100" w:afterAutospacing="1" w:line="276" w:lineRule="auto"/>
        <w:ind w:left="432" w:hanging="432"/>
        <w:contextualSpacing/>
        <w:textAlignment w:val="auto"/>
        <w:rPr>
          <w:rFonts w:eastAsia="DejaVu Sans" w:cs="Arial"/>
          <w:kern w:val="3"/>
          <w:szCs w:val="22"/>
        </w:rPr>
      </w:pPr>
      <w:bookmarkStart w:id="4" w:name="_Toc70927270"/>
      <w:r w:rsidRPr="00EB5846">
        <w:rPr>
          <w:rFonts w:eastAsia="DejaVu Sans" w:cs="Arial"/>
          <w:kern w:val="3"/>
          <w:szCs w:val="22"/>
        </w:rPr>
        <w:t xml:space="preserve">II. </w:t>
      </w:r>
      <w:r w:rsidRPr="00EB5846">
        <w:rPr>
          <w:rFonts w:cs="Arial"/>
          <w:szCs w:val="22"/>
        </w:rPr>
        <w:t>OBJETIVO</w:t>
      </w:r>
      <w:bookmarkEnd w:id="3"/>
      <w:bookmarkEnd w:id="4"/>
    </w:p>
    <w:p w14:paraId="148C1CE4" w14:textId="19B61550" w:rsidR="00CA4E66" w:rsidRDefault="00DF6612" w:rsidP="004A72FB">
      <w:pPr>
        <w:spacing w:before="100" w:beforeAutospacing="1" w:after="100" w:afterAutospacing="1" w:line="276" w:lineRule="auto"/>
        <w:contextualSpacing/>
        <w:rPr>
          <w:rFonts w:cs="Arial"/>
          <w:szCs w:val="22"/>
        </w:rPr>
      </w:pPr>
      <w:r w:rsidRPr="00EB5846">
        <w:rPr>
          <w:rFonts w:cs="Arial"/>
          <w:szCs w:val="22"/>
        </w:rPr>
        <w:t>Verificar</w:t>
      </w:r>
      <w:r>
        <w:rPr>
          <w:rFonts w:cs="Arial"/>
          <w:szCs w:val="22"/>
        </w:rPr>
        <w:t xml:space="preserve"> la ejecución del</w:t>
      </w:r>
      <w:r w:rsidRPr="00EB5846">
        <w:rPr>
          <w:rFonts w:cs="Arial"/>
          <w:szCs w:val="22"/>
        </w:rPr>
        <w:t xml:space="preserve"> PSC como instrumento definido en el IDRD para garantizar la calidad, eficacia, confiabilidad y oportunidad de la información del proceso contable, de acuerdo con el Nuevo Marco Normativo</w:t>
      </w:r>
      <w:r>
        <w:rPr>
          <w:rFonts w:cs="Arial"/>
          <w:szCs w:val="22"/>
        </w:rPr>
        <w:t>.</w:t>
      </w:r>
    </w:p>
    <w:p w14:paraId="79BE137F" w14:textId="77777777" w:rsidR="00807F20" w:rsidRPr="00EB5846" w:rsidRDefault="00807F20" w:rsidP="004A72FB">
      <w:pPr>
        <w:spacing w:before="100" w:beforeAutospacing="1" w:after="100" w:afterAutospacing="1" w:line="276" w:lineRule="auto"/>
        <w:contextualSpacing/>
        <w:rPr>
          <w:rFonts w:cs="Arial"/>
          <w:bCs/>
          <w:kern w:val="3"/>
          <w:szCs w:val="22"/>
        </w:rPr>
      </w:pPr>
    </w:p>
    <w:p w14:paraId="1C79B884" w14:textId="2A94F334" w:rsidR="00A90021" w:rsidRPr="00EB5846" w:rsidRDefault="00A90021" w:rsidP="004A72FB">
      <w:pPr>
        <w:pStyle w:val="Ttulo1"/>
        <w:tabs>
          <w:tab w:val="num" w:pos="0"/>
        </w:tabs>
        <w:spacing w:before="100" w:beforeAutospacing="1" w:after="100" w:afterAutospacing="1" w:line="276" w:lineRule="auto"/>
        <w:ind w:left="432" w:hanging="432"/>
        <w:contextualSpacing/>
        <w:textAlignment w:val="auto"/>
        <w:rPr>
          <w:rFonts w:cs="Arial"/>
          <w:szCs w:val="22"/>
        </w:rPr>
      </w:pPr>
      <w:bookmarkStart w:id="5" w:name="_Toc33428542"/>
      <w:bookmarkStart w:id="6" w:name="_Toc70927271"/>
      <w:r w:rsidRPr="00EB5846">
        <w:rPr>
          <w:rFonts w:cs="Arial"/>
          <w:szCs w:val="22"/>
        </w:rPr>
        <w:t xml:space="preserve">III. </w:t>
      </w:r>
      <w:bookmarkEnd w:id="5"/>
      <w:r w:rsidR="00EB5846" w:rsidRPr="00EB5846">
        <w:rPr>
          <w:rFonts w:cs="Arial"/>
          <w:szCs w:val="22"/>
        </w:rPr>
        <w:t>METODOLOGÍA</w:t>
      </w:r>
      <w:bookmarkEnd w:id="6"/>
    </w:p>
    <w:p w14:paraId="3A267D61" w14:textId="77777777" w:rsidR="00DF6612" w:rsidRPr="00EB5846" w:rsidRDefault="00DF6612" w:rsidP="00DF6612">
      <w:pPr>
        <w:pStyle w:val="Default"/>
        <w:spacing w:before="100" w:beforeAutospacing="1" w:after="100" w:afterAutospacing="1" w:line="276" w:lineRule="auto"/>
        <w:contextualSpacing/>
        <w:jc w:val="both"/>
        <w:rPr>
          <w:sz w:val="22"/>
          <w:szCs w:val="22"/>
        </w:rPr>
      </w:pPr>
      <w:r w:rsidRPr="00EB5846">
        <w:rPr>
          <w:sz w:val="22"/>
          <w:szCs w:val="22"/>
        </w:rPr>
        <w:t>A partir de las 20 acciones propuestas en el PSC, se requirió a cada una de las dependencias responsables de su ejecución, la información y evidencias que acreditaran el suministro oportuno al área de Contabilidad del IDRD, de la información relacionada c</w:t>
      </w:r>
      <w:r>
        <w:rPr>
          <w:sz w:val="22"/>
          <w:szCs w:val="22"/>
        </w:rPr>
        <w:t>on los hechos financieros y</w:t>
      </w:r>
      <w:r w:rsidRPr="00EB5846">
        <w:rPr>
          <w:sz w:val="22"/>
          <w:szCs w:val="22"/>
        </w:rPr>
        <w:t xml:space="preserve"> económicos que debieron repor</w:t>
      </w:r>
      <w:r>
        <w:rPr>
          <w:sz w:val="22"/>
          <w:szCs w:val="22"/>
        </w:rPr>
        <w:t>tarse al cierre contable de la vigencia 2020</w:t>
      </w:r>
      <w:r w:rsidRPr="00EB5846">
        <w:rPr>
          <w:sz w:val="22"/>
          <w:szCs w:val="22"/>
        </w:rPr>
        <w:t>; para determinados meses de corte seleccionados por la Oficina de Control Interno</w:t>
      </w:r>
      <w:r>
        <w:rPr>
          <w:sz w:val="22"/>
          <w:szCs w:val="22"/>
        </w:rPr>
        <w:t xml:space="preserve"> - OCI</w:t>
      </w:r>
      <w:r w:rsidRPr="00EB5846">
        <w:rPr>
          <w:sz w:val="22"/>
          <w:szCs w:val="22"/>
        </w:rPr>
        <w:t xml:space="preserve">, según la periodicidad de reporte definida en el Plan. </w:t>
      </w:r>
    </w:p>
    <w:p w14:paraId="71A4CA47" w14:textId="77777777" w:rsidR="00DF6612" w:rsidRPr="00EB5846" w:rsidRDefault="00DF6612" w:rsidP="00DF6612">
      <w:pPr>
        <w:spacing w:before="100" w:beforeAutospacing="1" w:after="100" w:afterAutospacing="1" w:line="276" w:lineRule="auto"/>
        <w:contextualSpacing/>
        <w:rPr>
          <w:rFonts w:cs="Arial"/>
          <w:bCs/>
          <w:kern w:val="3"/>
          <w:szCs w:val="22"/>
        </w:rPr>
      </w:pPr>
      <w:r w:rsidRPr="00EB5846">
        <w:rPr>
          <w:rFonts w:cs="Arial"/>
          <w:szCs w:val="22"/>
        </w:rPr>
        <w:t>Es importante mencionar que</w:t>
      </w:r>
      <w:r>
        <w:rPr>
          <w:rFonts w:cs="Arial"/>
          <w:szCs w:val="22"/>
        </w:rPr>
        <w:t>,</w:t>
      </w:r>
      <w:r w:rsidRPr="00EB5846">
        <w:rPr>
          <w:rFonts w:cs="Arial"/>
          <w:szCs w:val="22"/>
        </w:rPr>
        <w:t xml:space="preserve"> </w:t>
      </w:r>
      <w:r>
        <w:rPr>
          <w:rFonts w:cs="Arial"/>
          <w:szCs w:val="22"/>
        </w:rPr>
        <w:t>con el fin de</w:t>
      </w:r>
      <w:r w:rsidRPr="00EB5846">
        <w:rPr>
          <w:rFonts w:cs="Arial"/>
          <w:szCs w:val="22"/>
        </w:rPr>
        <w:t xml:space="preserve"> establecer la calidad del flujo de información hacia el proceso contable, </w:t>
      </w:r>
      <w:r>
        <w:rPr>
          <w:rFonts w:cs="Arial"/>
          <w:szCs w:val="22"/>
        </w:rPr>
        <w:t>se confrontó la información aportada por</w:t>
      </w:r>
      <w:r w:rsidRPr="00EB5846">
        <w:rPr>
          <w:rFonts w:cs="Arial"/>
          <w:szCs w:val="22"/>
        </w:rPr>
        <w:t xml:space="preserve"> las áreas generadoras de hechos económicos en el IDRD</w:t>
      </w:r>
      <w:r>
        <w:rPr>
          <w:rFonts w:cs="Arial"/>
          <w:szCs w:val="22"/>
        </w:rPr>
        <w:t xml:space="preserve"> frente a la reflejada en la información financiera de la vigencia 2020</w:t>
      </w:r>
      <w:r w:rsidRPr="00EB5846">
        <w:rPr>
          <w:rFonts w:cs="Arial"/>
          <w:szCs w:val="22"/>
        </w:rPr>
        <w:t>. Con base en la información recopilada, se realizó la revisión y análisis de los soportes y se comparó con las acciones definidas en el Plan.</w:t>
      </w:r>
    </w:p>
    <w:p w14:paraId="031CD3ED" w14:textId="6503023C" w:rsidR="00A90021" w:rsidRPr="00EB5846" w:rsidRDefault="00A90021" w:rsidP="004A72FB">
      <w:pPr>
        <w:pStyle w:val="Ttulo1"/>
        <w:tabs>
          <w:tab w:val="num" w:pos="0"/>
        </w:tabs>
        <w:spacing w:before="100" w:beforeAutospacing="1" w:after="100" w:afterAutospacing="1" w:line="276" w:lineRule="auto"/>
        <w:ind w:left="432" w:hanging="432"/>
        <w:contextualSpacing/>
        <w:textAlignment w:val="auto"/>
        <w:rPr>
          <w:rFonts w:cs="Arial"/>
          <w:szCs w:val="22"/>
        </w:rPr>
      </w:pPr>
      <w:bookmarkStart w:id="7" w:name="_Toc33428543"/>
      <w:bookmarkStart w:id="8" w:name="_Toc70927272"/>
      <w:r w:rsidRPr="00EB5846">
        <w:rPr>
          <w:rFonts w:cs="Arial"/>
          <w:szCs w:val="22"/>
        </w:rPr>
        <w:lastRenderedPageBreak/>
        <w:t xml:space="preserve">IV. </w:t>
      </w:r>
      <w:bookmarkEnd w:id="7"/>
      <w:r w:rsidR="00EB5846" w:rsidRPr="00EB5846">
        <w:rPr>
          <w:rFonts w:cs="Arial"/>
          <w:szCs w:val="22"/>
        </w:rPr>
        <w:t>RESULTADOS</w:t>
      </w:r>
      <w:bookmarkEnd w:id="8"/>
    </w:p>
    <w:p w14:paraId="4CC366B4" w14:textId="11E08442" w:rsidR="00DF6612" w:rsidRDefault="00DF6612" w:rsidP="00DF6612">
      <w:pPr>
        <w:spacing w:before="100" w:beforeAutospacing="1" w:after="100" w:afterAutospacing="1" w:line="276" w:lineRule="auto"/>
        <w:contextualSpacing/>
        <w:rPr>
          <w:rFonts w:cs="Arial"/>
          <w:szCs w:val="22"/>
        </w:rPr>
      </w:pPr>
      <w:r>
        <w:rPr>
          <w:rFonts w:cs="Arial"/>
          <w:szCs w:val="22"/>
        </w:rPr>
        <w:t>En el seguimiento y evaluación de los 20 temas</w:t>
      </w:r>
      <w:r w:rsidRPr="00EB5846">
        <w:rPr>
          <w:rFonts w:cs="Arial"/>
          <w:szCs w:val="22"/>
        </w:rPr>
        <w:t xml:space="preserve"> que conforman el PSC</w:t>
      </w:r>
      <w:r>
        <w:rPr>
          <w:rFonts w:cs="Arial"/>
          <w:szCs w:val="22"/>
        </w:rPr>
        <w:t xml:space="preserve"> se establecieron 41 responsabilidades a las dependencias, de las cuales se excluyeron tres (3) de las Subdirecciones Técnicas, correspondientes al tema 15 – Concesiones, en razón de que el hecho económico no ocurrió en el periodo evaluado (noviembre 2020 - febrero 2021) y 4 adicionales asignadas a la Subdirección Técnica de Recreación y Deporte - STRD por cuanto no suministro </w:t>
      </w:r>
      <w:r w:rsidR="00EE7CE1">
        <w:rPr>
          <w:rFonts w:cs="Arial"/>
          <w:szCs w:val="22"/>
        </w:rPr>
        <w:t xml:space="preserve">la </w:t>
      </w:r>
      <w:r>
        <w:rPr>
          <w:rFonts w:cs="Arial"/>
          <w:szCs w:val="22"/>
        </w:rPr>
        <w:t>evidencia solicitada.</w:t>
      </w:r>
      <w:r w:rsidRPr="00EB5846">
        <w:rPr>
          <w:rFonts w:cs="Arial"/>
          <w:szCs w:val="22"/>
        </w:rPr>
        <w:t xml:space="preserve"> </w:t>
      </w:r>
    </w:p>
    <w:p w14:paraId="7F47F229" w14:textId="77777777" w:rsidR="00DF6612" w:rsidRDefault="00DF6612" w:rsidP="00DF6612">
      <w:pPr>
        <w:spacing w:before="100" w:beforeAutospacing="1" w:after="100" w:afterAutospacing="1" w:line="276" w:lineRule="auto"/>
        <w:contextualSpacing/>
        <w:rPr>
          <w:rFonts w:cs="Arial"/>
          <w:szCs w:val="22"/>
        </w:rPr>
      </w:pPr>
    </w:p>
    <w:p w14:paraId="25320383" w14:textId="77777777" w:rsidR="00E22FC5" w:rsidRDefault="00E22FC5" w:rsidP="00E22FC5">
      <w:pPr>
        <w:spacing w:before="100" w:beforeAutospacing="1" w:after="100" w:afterAutospacing="1" w:line="276" w:lineRule="auto"/>
        <w:contextualSpacing/>
        <w:rPr>
          <w:rFonts w:cs="Arial"/>
          <w:kern w:val="3"/>
          <w:szCs w:val="22"/>
        </w:rPr>
      </w:pPr>
      <w:r w:rsidRPr="00D5701B">
        <w:rPr>
          <w:rFonts w:cs="Arial"/>
          <w:kern w:val="3"/>
          <w:szCs w:val="22"/>
        </w:rPr>
        <w:t>Una vez consolidada y an</w:t>
      </w:r>
      <w:r>
        <w:rPr>
          <w:rFonts w:cs="Arial"/>
          <w:kern w:val="3"/>
          <w:szCs w:val="22"/>
        </w:rPr>
        <w:t xml:space="preserve">alizada la información </w:t>
      </w:r>
      <w:r w:rsidRPr="00262771">
        <w:rPr>
          <w:rFonts w:cs="Arial"/>
          <w:kern w:val="3"/>
          <w:szCs w:val="22"/>
        </w:rPr>
        <w:t xml:space="preserve">de cumplimiento de los 20 temas definidos </w:t>
      </w:r>
      <w:r>
        <w:rPr>
          <w:rFonts w:cs="Arial"/>
          <w:kern w:val="3"/>
          <w:szCs w:val="22"/>
        </w:rPr>
        <w:t>en el PSC</w:t>
      </w:r>
      <w:r w:rsidRPr="00D5701B">
        <w:rPr>
          <w:rFonts w:cs="Arial"/>
          <w:kern w:val="3"/>
          <w:szCs w:val="22"/>
        </w:rPr>
        <w:t>, se obtuv</w:t>
      </w:r>
      <w:r>
        <w:rPr>
          <w:rFonts w:cs="Arial"/>
          <w:kern w:val="3"/>
          <w:szCs w:val="22"/>
        </w:rPr>
        <w:t xml:space="preserve">o el </w:t>
      </w:r>
      <w:r w:rsidRPr="00D5701B">
        <w:rPr>
          <w:rFonts w:cs="Arial"/>
          <w:kern w:val="3"/>
          <w:szCs w:val="22"/>
        </w:rPr>
        <w:t>siguiente resultado:</w:t>
      </w:r>
    </w:p>
    <w:p w14:paraId="0ABD81E0" w14:textId="77777777" w:rsidR="00E22FC5" w:rsidRDefault="00E22FC5" w:rsidP="00E22FC5">
      <w:pPr>
        <w:spacing w:before="100" w:beforeAutospacing="1" w:after="100" w:afterAutospacing="1" w:line="276" w:lineRule="auto"/>
        <w:contextualSpacing/>
        <w:rPr>
          <w:rFonts w:cs="Arial"/>
          <w:kern w:val="3"/>
          <w:szCs w:val="22"/>
        </w:rPr>
      </w:pPr>
    </w:p>
    <w:p w14:paraId="232C1437" w14:textId="77777777" w:rsidR="00E22FC5" w:rsidRPr="003D129F" w:rsidRDefault="00E22FC5" w:rsidP="00E22FC5">
      <w:pPr>
        <w:suppressAutoHyphens w:val="0"/>
        <w:autoSpaceDN/>
        <w:jc w:val="center"/>
        <w:textAlignment w:val="auto"/>
        <w:rPr>
          <w:rFonts w:cs="Arial"/>
          <w:b/>
          <w:bCs/>
          <w:szCs w:val="22"/>
        </w:rPr>
      </w:pPr>
      <w:r>
        <w:rPr>
          <w:noProof/>
          <w:lang w:val="es-CO" w:eastAsia="es-CO"/>
        </w:rPr>
        <w:drawing>
          <wp:inline distT="0" distB="0" distL="0" distR="0" wp14:anchorId="46E93007" wp14:editId="21071AAE">
            <wp:extent cx="3057525" cy="1809750"/>
            <wp:effectExtent l="0" t="0" r="9525" b="0"/>
            <wp:docPr id="15" name="Gráfico 15">
              <a:extLst xmlns:a="http://schemas.openxmlformats.org/drawingml/2006/main">
                <a:ext uri="{FF2B5EF4-FFF2-40B4-BE49-F238E27FC236}">
                  <a16:creationId xmlns:a16="http://schemas.microsoft.com/office/drawing/2014/main" id="{2388FE11-00D4-4F48-946C-A1AB162458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105167" w14:textId="77777777" w:rsidR="00E22FC5" w:rsidRPr="003D129F" w:rsidRDefault="00E22FC5" w:rsidP="00E22FC5">
      <w:pPr>
        <w:jc w:val="center"/>
        <w:rPr>
          <w:rFonts w:cs="Arial"/>
          <w:sz w:val="16"/>
          <w:szCs w:val="16"/>
        </w:rPr>
      </w:pPr>
      <w:r w:rsidRPr="003D129F">
        <w:rPr>
          <w:rFonts w:cs="Arial"/>
          <w:bCs/>
          <w:sz w:val="16"/>
          <w:szCs w:val="16"/>
        </w:rPr>
        <w:t>Gráfica No. 1 – Fuente: Papeles de trabajo OCI</w:t>
      </w:r>
    </w:p>
    <w:p w14:paraId="260FCAF0" w14:textId="77777777" w:rsidR="00E22FC5" w:rsidRDefault="00E22FC5" w:rsidP="00E22FC5">
      <w:pPr>
        <w:suppressAutoHyphens w:val="0"/>
        <w:autoSpaceDN/>
        <w:textAlignment w:val="auto"/>
        <w:rPr>
          <w:rFonts w:cs="Arial"/>
          <w:szCs w:val="22"/>
        </w:rPr>
      </w:pPr>
    </w:p>
    <w:p w14:paraId="4697BEE8" w14:textId="41E16205" w:rsidR="007719D5" w:rsidRDefault="007719D5" w:rsidP="003812D9">
      <w:pPr>
        <w:suppressAutoHyphens w:val="0"/>
        <w:autoSpaceDN/>
        <w:textAlignment w:val="auto"/>
        <w:rPr>
          <w:rFonts w:cs="Arial"/>
          <w:szCs w:val="22"/>
        </w:rPr>
      </w:pPr>
    </w:p>
    <w:p w14:paraId="134A929F" w14:textId="0CC09239" w:rsidR="000271D3" w:rsidRDefault="006A7466" w:rsidP="003812D9">
      <w:pPr>
        <w:suppressAutoHyphens w:val="0"/>
        <w:autoSpaceDN/>
        <w:textAlignment w:val="auto"/>
        <w:rPr>
          <w:rFonts w:cs="Arial"/>
          <w:szCs w:val="22"/>
        </w:rPr>
      </w:pPr>
      <w:r w:rsidRPr="001812A2">
        <w:rPr>
          <w:rFonts w:cs="Arial"/>
          <w:szCs w:val="22"/>
        </w:rPr>
        <w:t>Es pertinente resaltar</w:t>
      </w:r>
      <w:r>
        <w:rPr>
          <w:rFonts w:cs="Arial"/>
          <w:szCs w:val="22"/>
        </w:rPr>
        <w:t xml:space="preserve"> el nivel de cumplimiento de </w:t>
      </w:r>
      <w:r w:rsidR="000271D3">
        <w:rPr>
          <w:rFonts w:cs="Arial"/>
          <w:szCs w:val="22"/>
        </w:rPr>
        <w:t xml:space="preserve">los </w:t>
      </w:r>
      <w:r>
        <w:rPr>
          <w:rFonts w:cs="Arial"/>
          <w:szCs w:val="22"/>
        </w:rPr>
        <w:t xml:space="preserve">temas </w:t>
      </w:r>
      <w:r w:rsidR="000271D3">
        <w:rPr>
          <w:rFonts w:cs="Arial"/>
          <w:szCs w:val="22"/>
        </w:rPr>
        <w:t>contenidos en el Plan de sostenibilidad contable, toda vez que para 1</w:t>
      </w:r>
      <w:r w:rsidR="00A72B7E">
        <w:rPr>
          <w:rFonts w:cs="Arial"/>
          <w:szCs w:val="22"/>
        </w:rPr>
        <w:t>5</w:t>
      </w:r>
      <w:r w:rsidR="000271D3">
        <w:rPr>
          <w:rFonts w:cs="Arial"/>
          <w:szCs w:val="22"/>
        </w:rPr>
        <w:t xml:space="preserve">, del total de 20 temas, se presenta cumplimiento total (100%), equivalentes al </w:t>
      </w:r>
      <w:r w:rsidR="00A72B7E">
        <w:rPr>
          <w:rFonts w:cs="Arial"/>
          <w:szCs w:val="22"/>
        </w:rPr>
        <w:t>7</w:t>
      </w:r>
      <w:r w:rsidR="000271D3">
        <w:rPr>
          <w:rFonts w:cs="Arial"/>
          <w:szCs w:val="22"/>
        </w:rPr>
        <w:t>5%.</w:t>
      </w:r>
    </w:p>
    <w:p w14:paraId="52B6578B" w14:textId="38494A3C" w:rsidR="00A72B7E" w:rsidRDefault="00A72B7E" w:rsidP="003812D9">
      <w:pPr>
        <w:suppressAutoHyphens w:val="0"/>
        <w:autoSpaceDN/>
        <w:textAlignment w:val="auto"/>
        <w:rPr>
          <w:rFonts w:cs="Arial"/>
          <w:szCs w:val="22"/>
        </w:rPr>
      </w:pPr>
    </w:p>
    <w:p w14:paraId="208996F1" w14:textId="52086363" w:rsidR="00A72B7E" w:rsidRPr="00A72B7E" w:rsidRDefault="00A72B7E" w:rsidP="00A72B7E">
      <w:pPr>
        <w:suppressAutoHyphens w:val="0"/>
        <w:autoSpaceDN/>
        <w:textAlignment w:val="auto"/>
        <w:rPr>
          <w:rFonts w:cs="Arial"/>
          <w:szCs w:val="22"/>
        </w:rPr>
      </w:pPr>
      <w:r>
        <w:rPr>
          <w:rFonts w:cs="Arial"/>
          <w:szCs w:val="22"/>
        </w:rPr>
        <w:t>Es importante indicar que, para el cálculo de cumplimiento de responsabilidades, no se tuvo en cuenta la</w:t>
      </w:r>
      <w:r w:rsidR="00411650">
        <w:rPr>
          <w:rFonts w:cs="Arial"/>
          <w:szCs w:val="22"/>
        </w:rPr>
        <w:t xml:space="preserve">s actividades </w:t>
      </w:r>
      <w:r>
        <w:rPr>
          <w:rFonts w:cs="Arial"/>
          <w:szCs w:val="22"/>
        </w:rPr>
        <w:t>correspondiente</w:t>
      </w:r>
      <w:r w:rsidR="00411650">
        <w:rPr>
          <w:rFonts w:cs="Arial"/>
          <w:szCs w:val="22"/>
        </w:rPr>
        <w:t>s</w:t>
      </w:r>
      <w:r>
        <w:rPr>
          <w:rFonts w:cs="Arial"/>
          <w:szCs w:val="22"/>
        </w:rPr>
        <w:t xml:space="preserve"> a la Subdirección Técnica de Recreación y Deportes</w:t>
      </w:r>
      <w:r w:rsidR="004252F6">
        <w:rPr>
          <w:rFonts w:cs="Arial"/>
          <w:szCs w:val="22"/>
        </w:rPr>
        <w:t xml:space="preserve"> - STRD</w:t>
      </w:r>
      <w:r>
        <w:rPr>
          <w:rFonts w:cs="Arial"/>
          <w:szCs w:val="22"/>
        </w:rPr>
        <w:t xml:space="preserve">, en razón de que </w:t>
      </w:r>
      <w:r w:rsidRPr="00A72B7E">
        <w:rPr>
          <w:rFonts w:cs="Arial"/>
          <w:szCs w:val="22"/>
        </w:rPr>
        <w:t>no dio respuesta al requerimiento de información presentado por la Oficina de Control Interno con el memorando 20211500110583 del 17-mar-2021 ni a la reiteración de solicitud No. 20211500145353 del 16-abr-2021.</w:t>
      </w:r>
      <w:r>
        <w:rPr>
          <w:rFonts w:cs="Arial"/>
          <w:szCs w:val="22"/>
        </w:rPr>
        <w:t xml:space="preserve"> Dado lo expuesto, se asume que dicha dependencia no dio cumplimiento a las actividades previstas en el Plan de Sostenibilidad Contable.</w:t>
      </w:r>
    </w:p>
    <w:p w14:paraId="08A3F5D5" w14:textId="77777777" w:rsidR="000271D3" w:rsidRDefault="000271D3" w:rsidP="003812D9">
      <w:pPr>
        <w:suppressAutoHyphens w:val="0"/>
        <w:autoSpaceDN/>
        <w:textAlignment w:val="auto"/>
        <w:rPr>
          <w:rFonts w:cs="Arial"/>
          <w:szCs w:val="22"/>
        </w:rPr>
      </w:pPr>
    </w:p>
    <w:p w14:paraId="7E7A28A3" w14:textId="5CE0F6B8" w:rsidR="006A7466" w:rsidRDefault="000271D3" w:rsidP="003812D9">
      <w:pPr>
        <w:suppressAutoHyphens w:val="0"/>
        <w:autoSpaceDN/>
        <w:textAlignment w:val="auto"/>
        <w:rPr>
          <w:rFonts w:cs="Arial"/>
          <w:szCs w:val="22"/>
        </w:rPr>
      </w:pPr>
      <w:r>
        <w:rPr>
          <w:rFonts w:cs="Arial"/>
          <w:szCs w:val="22"/>
        </w:rPr>
        <w:t xml:space="preserve">Para los </w:t>
      </w:r>
      <w:r w:rsidR="00A72B7E">
        <w:rPr>
          <w:rFonts w:cs="Arial"/>
          <w:szCs w:val="22"/>
        </w:rPr>
        <w:t>cinco</w:t>
      </w:r>
      <w:r>
        <w:rPr>
          <w:rFonts w:cs="Arial"/>
          <w:szCs w:val="22"/>
        </w:rPr>
        <w:t xml:space="preserve"> </w:t>
      </w:r>
      <w:r w:rsidR="004252F6">
        <w:rPr>
          <w:rFonts w:cs="Arial"/>
          <w:szCs w:val="22"/>
        </w:rPr>
        <w:t xml:space="preserve">(5) </w:t>
      </w:r>
      <w:r>
        <w:rPr>
          <w:rFonts w:cs="Arial"/>
          <w:szCs w:val="22"/>
        </w:rPr>
        <w:t xml:space="preserve">temas restantes se observó que una de ellas (equivalente al 5%) no tuvo aplicabilidad, dado que para el período </w:t>
      </w:r>
      <w:r w:rsidRPr="000271D3">
        <w:rPr>
          <w:rFonts w:cs="Arial"/>
          <w:szCs w:val="22"/>
        </w:rPr>
        <w:t>solicitado para revisión por parte de esta Oficina no se presentaron casos de firma de concesiones ni modificaciones a las mismas.</w:t>
      </w:r>
    </w:p>
    <w:p w14:paraId="2FA0E907" w14:textId="573BF9E8" w:rsidR="007719D5" w:rsidRDefault="007719D5" w:rsidP="003812D9">
      <w:pPr>
        <w:suppressAutoHyphens w:val="0"/>
        <w:autoSpaceDN/>
        <w:textAlignment w:val="auto"/>
        <w:rPr>
          <w:rFonts w:cs="Arial"/>
          <w:szCs w:val="22"/>
        </w:rPr>
      </w:pPr>
    </w:p>
    <w:p w14:paraId="1C6953A6" w14:textId="02A9B05A" w:rsidR="000271D3" w:rsidRDefault="000271D3" w:rsidP="000271D3">
      <w:pPr>
        <w:suppressAutoHyphens w:val="0"/>
        <w:autoSpaceDN/>
        <w:textAlignment w:val="auto"/>
        <w:rPr>
          <w:rFonts w:cs="Arial"/>
          <w:szCs w:val="22"/>
        </w:rPr>
      </w:pPr>
      <w:r>
        <w:rPr>
          <w:rFonts w:cs="Arial"/>
          <w:szCs w:val="22"/>
        </w:rPr>
        <w:t>En relación con</w:t>
      </w:r>
      <w:r w:rsidR="00EE7CE1">
        <w:rPr>
          <w:rFonts w:cs="Arial"/>
          <w:szCs w:val="22"/>
        </w:rPr>
        <w:t xml:space="preserve"> los cuatro</w:t>
      </w:r>
      <w:r>
        <w:rPr>
          <w:rFonts w:cs="Arial"/>
          <w:szCs w:val="22"/>
        </w:rPr>
        <w:t xml:space="preserve"> temas que tuvieron cumplimiento parcial, a </w:t>
      </w:r>
      <w:proofErr w:type="gramStart"/>
      <w:r>
        <w:rPr>
          <w:rFonts w:cs="Arial"/>
          <w:szCs w:val="22"/>
        </w:rPr>
        <w:t>continuación</w:t>
      </w:r>
      <w:proofErr w:type="gramEnd"/>
      <w:r>
        <w:rPr>
          <w:rFonts w:cs="Arial"/>
          <w:szCs w:val="22"/>
        </w:rPr>
        <w:t xml:space="preserve"> se detalla el porcentaje de resultado, de acuerdo con las responsabilidades de cada dependencia:</w:t>
      </w:r>
    </w:p>
    <w:p w14:paraId="5D27B447" w14:textId="270F36EB" w:rsidR="000271D3" w:rsidRDefault="000271D3" w:rsidP="003812D9">
      <w:pPr>
        <w:suppressAutoHyphens w:val="0"/>
        <w:autoSpaceDN/>
        <w:textAlignment w:val="auto"/>
        <w:rPr>
          <w:rFonts w:cs="Arial"/>
          <w:szCs w:val="22"/>
        </w:rPr>
      </w:pPr>
    </w:p>
    <w:p w14:paraId="0DBA9836" w14:textId="46CA614D" w:rsidR="007E2177" w:rsidRDefault="007E2177" w:rsidP="003812D9">
      <w:pPr>
        <w:suppressAutoHyphens w:val="0"/>
        <w:autoSpaceDN/>
        <w:textAlignment w:val="auto"/>
        <w:rPr>
          <w:rFonts w:cs="Arial"/>
          <w:szCs w:val="22"/>
        </w:rPr>
      </w:pPr>
    </w:p>
    <w:p w14:paraId="5D039A84" w14:textId="6E4BA818" w:rsidR="007E2177" w:rsidRDefault="007E2177" w:rsidP="003812D9">
      <w:pPr>
        <w:suppressAutoHyphens w:val="0"/>
        <w:autoSpaceDN/>
        <w:textAlignment w:val="auto"/>
        <w:rPr>
          <w:rFonts w:cs="Arial"/>
          <w:szCs w:val="22"/>
        </w:rPr>
      </w:pPr>
    </w:p>
    <w:p w14:paraId="2D9794AE" w14:textId="1E25FF12" w:rsidR="007719D5" w:rsidRDefault="007719D5" w:rsidP="003812D9">
      <w:pPr>
        <w:suppressAutoHyphens w:val="0"/>
        <w:autoSpaceDN/>
        <w:textAlignment w:val="auto"/>
        <w:rPr>
          <w:rFonts w:cs="Arial"/>
          <w:szCs w:val="22"/>
        </w:rPr>
      </w:pPr>
      <w:r w:rsidRPr="007719D5">
        <w:rPr>
          <w:rFonts w:cs="Arial"/>
          <w:b/>
          <w:bCs/>
          <w:szCs w:val="22"/>
        </w:rPr>
        <w:lastRenderedPageBreak/>
        <w:t>Tema No. 1</w:t>
      </w:r>
      <w:r w:rsidR="0013726C">
        <w:rPr>
          <w:rFonts w:cs="Arial"/>
          <w:b/>
          <w:bCs/>
          <w:szCs w:val="22"/>
        </w:rPr>
        <w:t xml:space="preserve"> – Cajas menores</w:t>
      </w:r>
      <w:r>
        <w:rPr>
          <w:rFonts w:cs="Arial"/>
          <w:szCs w:val="22"/>
        </w:rPr>
        <w:t>:</w:t>
      </w:r>
    </w:p>
    <w:p w14:paraId="5AF0C7B6" w14:textId="77777777" w:rsidR="007719D5" w:rsidRDefault="007719D5" w:rsidP="003812D9">
      <w:pPr>
        <w:suppressAutoHyphens w:val="0"/>
        <w:autoSpaceDN/>
        <w:textAlignment w:val="auto"/>
        <w:rPr>
          <w:rFonts w:cs="Arial"/>
          <w:szCs w:val="22"/>
        </w:rPr>
      </w:pPr>
    </w:p>
    <w:p w14:paraId="3EC8C9E8" w14:textId="36064DCF" w:rsidR="007719D5" w:rsidRDefault="007719D5" w:rsidP="003812D9">
      <w:pPr>
        <w:suppressAutoHyphens w:val="0"/>
        <w:autoSpaceDN/>
        <w:textAlignment w:val="auto"/>
        <w:rPr>
          <w:rFonts w:cs="Arial"/>
          <w:szCs w:val="22"/>
        </w:rPr>
      </w:pPr>
      <w:r>
        <w:rPr>
          <w:rFonts w:cs="Arial"/>
          <w:szCs w:val="22"/>
        </w:rPr>
        <w:t xml:space="preserve">El promedio total de cumplimiento fue del </w:t>
      </w:r>
      <w:r w:rsidR="00851053">
        <w:rPr>
          <w:rFonts w:cs="Arial"/>
          <w:szCs w:val="22"/>
        </w:rPr>
        <w:t>67.5</w:t>
      </w:r>
      <w:r>
        <w:rPr>
          <w:rFonts w:cs="Arial"/>
          <w:szCs w:val="22"/>
        </w:rPr>
        <w:t>% (SAF 9</w:t>
      </w:r>
      <w:r w:rsidR="00851053">
        <w:rPr>
          <w:rFonts w:cs="Arial"/>
          <w:szCs w:val="22"/>
        </w:rPr>
        <w:t>5</w:t>
      </w:r>
      <w:r>
        <w:rPr>
          <w:rFonts w:cs="Arial"/>
          <w:szCs w:val="22"/>
        </w:rPr>
        <w:t xml:space="preserve">% - OAJ </w:t>
      </w:r>
      <w:r w:rsidR="00851053">
        <w:rPr>
          <w:rFonts w:cs="Arial"/>
          <w:szCs w:val="22"/>
        </w:rPr>
        <w:t>40</w:t>
      </w:r>
      <w:r>
        <w:rPr>
          <w:rFonts w:cs="Arial"/>
          <w:szCs w:val="22"/>
        </w:rPr>
        <w:t>%), cuyos resultados estuvieron afectados por las siguientes actividades:</w:t>
      </w:r>
    </w:p>
    <w:p w14:paraId="02114AD5" w14:textId="42DF1648" w:rsidR="007719D5" w:rsidRDefault="00D5027A" w:rsidP="003812D9">
      <w:pPr>
        <w:suppressAutoHyphens w:val="0"/>
        <w:autoSpaceDN/>
        <w:textAlignment w:val="auto"/>
        <w:rPr>
          <w:rFonts w:cs="Arial"/>
          <w:szCs w:val="22"/>
        </w:rPr>
      </w:pPr>
      <w:r>
        <w:rPr>
          <w:rFonts w:cs="Arial"/>
          <w:szCs w:val="22"/>
        </w:rPr>
        <w:t xml:space="preserve">SAF: </w:t>
      </w:r>
      <w:r w:rsidR="0013726C">
        <w:rPr>
          <w:rFonts w:cs="Arial"/>
          <w:szCs w:val="22"/>
        </w:rPr>
        <w:t>e</w:t>
      </w:r>
      <w:r>
        <w:rPr>
          <w:rFonts w:cs="Arial"/>
          <w:szCs w:val="22"/>
        </w:rPr>
        <w:t>l reporte de reembolso de caja menor, aportado a contabilidad, no incluyó los números de identificación de los beneficiarios de los pagos, tal como es requerido en la actividad descrita en el PSC.</w:t>
      </w:r>
    </w:p>
    <w:p w14:paraId="03669ABC" w14:textId="77777777" w:rsidR="00EE7CE1" w:rsidRDefault="00EE7CE1" w:rsidP="003812D9">
      <w:pPr>
        <w:suppressAutoHyphens w:val="0"/>
        <w:autoSpaceDN/>
        <w:textAlignment w:val="auto"/>
        <w:rPr>
          <w:rFonts w:cs="Arial"/>
          <w:szCs w:val="22"/>
        </w:rPr>
      </w:pPr>
    </w:p>
    <w:p w14:paraId="4A13710D" w14:textId="7F1C74A8" w:rsidR="00D5027A" w:rsidRDefault="00D5027A" w:rsidP="00D5027A">
      <w:pPr>
        <w:suppressAutoHyphens w:val="0"/>
        <w:autoSpaceDN/>
        <w:textAlignment w:val="auto"/>
        <w:rPr>
          <w:rFonts w:cs="Arial"/>
          <w:szCs w:val="22"/>
        </w:rPr>
      </w:pPr>
      <w:r>
        <w:rPr>
          <w:rFonts w:cs="Arial"/>
          <w:szCs w:val="22"/>
        </w:rPr>
        <w:t xml:space="preserve">OAJ: </w:t>
      </w:r>
      <w:r w:rsidR="0013726C">
        <w:rPr>
          <w:rFonts w:cs="Arial"/>
          <w:szCs w:val="22"/>
        </w:rPr>
        <w:t>n</w:t>
      </w:r>
      <w:r>
        <w:rPr>
          <w:rFonts w:cs="Arial"/>
          <w:szCs w:val="22"/>
        </w:rPr>
        <w:t xml:space="preserve">o fue allegada evidencia de la remisión a contabilidad, el formato de </w:t>
      </w:r>
      <w:r w:rsidRPr="00D5027A">
        <w:rPr>
          <w:rFonts w:cs="Arial"/>
          <w:szCs w:val="22"/>
        </w:rPr>
        <w:t>reembolso de caja menor</w:t>
      </w:r>
      <w:r>
        <w:rPr>
          <w:rFonts w:cs="Arial"/>
          <w:szCs w:val="22"/>
        </w:rPr>
        <w:t xml:space="preserve"> no presenta firmas y tampoco </w:t>
      </w:r>
      <w:r w:rsidRPr="00D5027A">
        <w:rPr>
          <w:rFonts w:cs="Arial"/>
          <w:szCs w:val="22"/>
        </w:rPr>
        <w:t>incluyó los números de identificación de los beneficiarios de los pagos, tal como es requerido en la actividad descrita en el PSC.</w:t>
      </w:r>
    </w:p>
    <w:p w14:paraId="6D058351" w14:textId="0DB2FBD2" w:rsidR="00D5027A" w:rsidRDefault="00D5027A" w:rsidP="00D5027A">
      <w:pPr>
        <w:suppressAutoHyphens w:val="0"/>
        <w:autoSpaceDN/>
        <w:textAlignment w:val="auto"/>
        <w:rPr>
          <w:rFonts w:cs="Arial"/>
          <w:szCs w:val="22"/>
        </w:rPr>
      </w:pPr>
    </w:p>
    <w:p w14:paraId="3F128BB4" w14:textId="29EEBD10" w:rsidR="00851FDF" w:rsidRPr="00851FDF" w:rsidRDefault="00E22FC5" w:rsidP="00851FDF">
      <w:pPr>
        <w:suppressAutoHyphens w:val="0"/>
        <w:autoSpaceDN/>
        <w:jc w:val="center"/>
        <w:textAlignment w:val="auto"/>
        <w:rPr>
          <w:rFonts w:cs="Arial"/>
          <w:szCs w:val="22"/>
        </w:rPr>
      </w:pPr>
      <w:r>
        <w:rPr>
          <w:noProof/>
          <w:lang w:val="es-CO" w:eastAsia="es-CO"/>
        </w:rPr>
        <w:drawing>
          <wp:inline distT="0" distB="0" distL="0" distR="0" wp14:anchorId="46D7C7E8" wp14:editId="7E3A307E">
            <wp:extent cx="3614738" cy="1804987"/>
            <wp:effectExtent l="0" t="0" r="5080" b="5080"/>
            <wp:docPr id="5" name="Gráfico 5">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0F5F4A" w14:textId="7D3D988E" w:rsidR="002B202D" w:rsidRPr="003D129F" w:rsidRDefault="002B202D" w:rsidP="002B202D">
      <w:pPr>
        <w:jc w:val="center"/>
        <w:rPr>
          <w:rFonts w:cs="Arial"/>
          <w:sz w:val="16"/>
          <w:szCs w:val="16"/>
        </w:rPr>
      </w:pPr>
      <w:r w:rsidRPr="003D129F">
        <w:rPr>
          <w:rFonts w:cs="Arial"/>
          <w:bCs/>
          <w:sz w:val="16"/>
          <w:szCs w:val="16"/>
        </w:rPr>
        <w:t>Gráfica No. 2 – Fuente: Papeles de trabajo OCI</w:t>
      </w:r>
    </w:p>
    <w:p w14:paraId="2AECA147" w14:textId="1A987894" w:rsidR="00835551" w:rsidRDefault="00835551" w:rsidP="00D5027A">
      <w:pPr>
        <w:suppressAutoHyphens w:val="0"/>
        <w:autoSpaceDN/>
        <w:textAlignment w:val="auto"/>
        <w:rPr>
          <w:rFonts w:cs="Arial"/>
          <w:szCs w:val="22"/>
        </w:rPr>
      </w:pPr>
    </w:p>
    <w:p w14:paraId="1304DF74" w14:textId="6CF6B8C5" w:rsidR="00654B0A" w:rsidRPr="00262771" w:rsidRDefault="007E2177" w:rsidP="00E22FC5">
      <w:pPr>
        <w:suppressAutoHyphens w:val="0"/>
        <w:autoSpaceDN/>
        <w:textAlignment w:val="auto"/>
        <w:rPr>
          <w:rFonts w:cs="Arial"/>
          <w:szCs w:val="22"/>
        </w:rPr>
      </w:pPr>
      <w:r w:rsidRPr="00262771">
        <w:rPr>
          <w:rFonts w:cs="Arial"/>
          <w:szCs w:val="22"/>
        </w:rPr>
        <w:t>De otra parte, e</w:t>
      </w:r>
      <w:r w:rsidR="00E22FC5" w:rsidRPr="00262771">
        <w:rPr>
          <w:rFonts w:cs="Arial"/>
          <w:szCs w:val="22"/>
        </w:rPr>
        <w:t>n re</w:t>
      </w:r>
      <w:r w:rsidR="00654B0A" w:rsidRPr="00262771">
        <w:rPr>
          <w:rFonts w:cs="Arial"/>
          <w:szCs w:val="22"/>
        </w:rPr>
        <w:t>v</w:t>
      </w:r>
      <w:r w:rsidR="00E22FC5" w:rsidRPr="00262771">
        <w:rPr>
          <w:rFonts w:cs="Arial"/>
          <w:szCs w:val="22"/>
        </w:rPr>
        <w:t xml:space="preserve">isión de las evidencias allegadas por SAF (comprobante No. 22), </w:t>
      </w:r>
      <w:r w:rsidR="00FF6B2D">
        <w:rPr>
          <w:rFonts w:cs="Arial"/>
          <w:szCs w:val="22"/>
        </w:rPr>
        <w:t xml:space="preserve">se identificó la compra de una </w:t>
      </w:r>
      <w:r w:rsidR="00E22FC5" w:rsidRPr="00262771">
        <w:rPr>
          <w:rFonts w:cs="Arial"/>
          <w:szCs w:val="22"/>
        </w:rPr>
        <w:t>Plant</w:t>
      </w:r>
      <w:r w:rsidR="00FF6B2D">
        <w:rPr>
          <w:rFonts w:cs="Arial"/>
          <w:szCs w:val="22"/>
        </w:rPr>
        <w:t>illa</w:t>
      </w:r>
      <w:r w:rsidR="00E22FC5" w:rsidRPr="00262771">
        <w:rPr>
          <w:rFonts w:cs="Arial"/>
          <w:szCs w:val="22"/>
        </w:rPr>
        <w:t xml:space="preserve"> para diseño y uso de la intranet del IDRD, realizada el 18 de marzo de 2020, mediante Tarjeta de Cré</w:t>
      </w:r>
      <w:r w:rsidR="00376FBD">
        <w:rPr>
          <w:rFonts w:cs="Arial"/>
          <w:szCs w:val="22"/>
        </w:rPr>
        <w:t xml:space="preserve">dito ‘Exitosa’ </w:t>
      </w:r>
      <w:r w:rsidR="00376FBD" w:rsidRPr="00262771">
        <w:rPr>
          <w:rFonts w:cs="Arial"/>
          <w:szCs w:val="22"/>
        </w:rPr>
        <w:t>por</w:t>
      </w:r>
      <w:r w:rsidR="00654B0A" w:rsidRPr="00262771">
        <w:rPr>
          <w:rFonts w:cs="Arial"/>
          <w:szCs w:val="22"/>
        </w:rPr>
        <w:t xml:space="preserve"> valor de $169.777</w:t>
      </w:r>
      <w:r w:rsidRPr="00262771">
        <w:rPr>
          <w:rFonts w:cs="Arial"/>
          <w:szCs w:val="22"/>
        </w:rPr>
        <w:t>,</w:t>
      </w:r>
      <w:r w:rsidR="00654B0A" w:rsidRPr="00262771">
        <w:rPr>
          <w:rFonts w:cs="Arial"/>
          <w:sz w:val="18"/>
          <w:szCs w:val="18"/>
        </w:rPr>
        <w:t>83</w:t>
      </w:r>
      <w:r w:rsidR="00E22FC5" w:rsidRPr="00262771">
        <w:rPr>
          <w:rFonts w:cs="Arial"/>
          <w:szCs w:val="22"/>
        </w:rPr>
        <w:t>.</w:t>
      </w:r>
    </w:p>
    <w:p w14:paraId="54755945" w14:textId="77777777" w:rsidR="00654B0A" w:rsidRPr="00262771" w:rsidRDefault="00654B0A" w:rsidP="00E22FC5">
      <w:pPr>
        <w:suppressAutoHyphens w:val="0"/>
        <w:autoSpaceDN/>
        <w:textAlignment w:val="auto"/>
        <w:rPr>
          <w:rFonts w:cs="Arial"/>
          <w:szCs w:val="22"/>
        </w:rPr>
      </w:pPr>
    </w:p>
    <w:p w14:paraId="204D8831" w14:textId="77C82744" w:rsidR="00E22FC5" w:rsidRPr="00262771" w:rsidRDefault="00654B0A" w:rsidP="00E22FC5">
      <w:pPr>
        <w:suppressAutoHyphens w:val="0"/>
        <w:autoSpaceDN/>
        <w:textAlignment w:val="auto"/>
        <w:rPr>
          <w:rFonts w:cs="Arial"/>
          <w:szCs w:val="22"/>
        </w:rPr>
      </w:pPr>
      <w:r w:rsidRPr="00262771">
        <w:rPr>
          <w:rFonts w:cs="Arial"/>
          <w:szCs w:val="22"/>
        </w:rPr>
        <w:t xml:space="preserve">Dicha adquisición fue aprobada el 03 de diciembre de 2020 para ser pagada por Caja Menor. </w:t>
      </w:r>
      <w:r w:rsidR="00E22FC5" w:rsidRPr="00262771">
        <w:rPr>
          <w:rFonts w:cs="Arial"/>
          <w:szCs w:val="22"/>
        </w:rPr>
        <w:t>El reembolso de la misma se pagó el 18 de</w:t>
      </w:r>
      <w:r w:rsidR="00FF6B2D">
        <w:rPr>
          <w:rFonts w:cs="Arial"/>
          <w:szCs w:val="22"/>
        </w:rPr>
        <w:t xml:space="preserve"> diciembre de 2020 a un</w:t>
      </w:r>
      <w:r w:rsidR="00376FBD">
        <w:rPr>
          <w:rFonts w:cs="Arial"/>
          <w:szCs w:val="22"/>
        </w:rPr>
        <w:t xml:space="preserve"> </w:t>
      </w:r>
      <w:r w:rsidR="00E22FC5" w:rsidRPr="00262771">
        <w:rPr>
          <w:rFonts w:cs="Arial"/>
          <w:szCs w:val="22"/>
        </w:rPr>
        <w:t>Profesional especializa</w:t>
      </w:r>
      <w:r w:rsidR="00FF6B2D">
        <w:rPr>
          <w:rFonts w:cs="Arial"/>
          <w:szCs w:val="22"/>
        </w:rPr>
        <w:t>do 222-07</w:t>
      </w:r>
      <w:r w:rsidR="00E22FC5" w:rsidRPr="00262771">
        <w:rPr>
          <w:rFonts w:cs="Arial"/>
          <w:szCs w:val="22"/>
        </w:rPr>
        <w:t xml:space="preserve">. </w:t>
      </w:r>
    </w:p>
    <w:p w14:paraId="596E815D" w14:textId="01EEAC6C" w:rsidR="00E22FC5" w:rsidRPr="00262771" w:rsidRDefault="00E22FC5" w:rsidP="00E22FC5">
      <w:pPr>
        <w:suppressAutoHyphens w:val="0"/>
        <w:autoSpaceDN/>
        <w:textAlignment w:val="auto"/>
        <w:rPr>
          <w:rFonts w:cs="Arial"/>
          <w:szCs w:val="22"/>
        </w:rPr>
      </w:pPr>
    </w:p>
    <w:p w14:paraId="3C5955DE" w14:textId="2BD0D498" w:rsidR="00654B0A" w:rsidRPr="00262771" w:rsidRDefault="00654B0A" w:rsidP="00E22FC5">
      <w:pPr>
        <w:suppressAutoHyphens w:val="0"/>
        <w:autoSpaceDN/>
        <w:textAlignment w:val="auto"/>
        <w:rPr>
          <w:rFonts w:cs="Arial"/>
          <w:szCs w:val="22"/>
        </w:rPr>
      </w:pPr>
      <w:r w:rsidRPr="00262771">
        <w:rPr>
          <w:rFonts w:cs="Arial"/>
          <w:szCs w:val="22"/>
        </w:rPr>
        <w:t>En vista de que el procedimiento aplicado para la mencionada compra corresponde a una transacción atípica, se realizará una revisión específica a los reembolsos de caja menor.</w:t>
      </w:r>
    </w:p>
    <w:p w14:paraId="79573E10" w14:textId="7FE9F058" w:rsidR="00E22FC5" w:rsidRDefault="00E22FC5" w:rsidP="00E22FC5">
      <w:pPr>
        <w:suppressAutoHyphens w:val="0"/>
        <w:autoSpaceDN/>
        <w:textAlignment w:val="auto"/>
        <w:rPr>
          <w:rFonts w:cs="Arial"/>
          <w:color w:val="FF0000"/>
          <w:szCs w:val="22"/>
        </w:rPr>
      </w:pPr>
    </w:p>
    <w:p w14:paraId="4CB65F92" w14:textId="77777777" w:rsidR="007E2177" w:rsidRDefault="007E2177" w:rsidP="00E22FC5">
      <w:pPr>
        <w:suppressAutoHyphens w:val="0"/>
        <w:autoSpaceDN/>
        <w:textAlignment w:val="auto"/>
        <w:rPr>
          <w:rFonts w:cs="Arial"/>
          <w:color w:val="FF0000"/>
          <w:szCs w:val="22"/>
        </w:rPr>
      </w:pPr>
    </w:p>
    <w:p w14:paraId="1AEC12E5" w14:textId="2EA5E5C6" w:rsidR="00A5322E" w:rsidRDefault="0013726C" w:rsidP="003812D9">
      <w:pPr>
        <w:suppressAutoHyphens w:val="0"/>
        <w:autoSpaceDN/>
        <w:textAlignment w:val="auto"/>
        <w:rPr>
          <w:rFonts w:cs="Arial"/>
          <w:szCs w:val="22"/>
        </w:rPr>
      </w:pPr>
      <w:r w:rsidRPr="0013726C">
        <w:rPr>
          <w:rFonts w:cs="Arial"/>
          <w:b/>
          <w:bCs/>
          <w:szCs w:val="22"/>
        </w:rPr>
        <w:t>Tema 4</w:t>
      </w:r>
      <w:r>
        <w:rPr>
          <w:rFonts w:cs="Arial"/>
          <w:b/>
          <w:bCs/>
          <w:szCs w:val="22"/>
        </w:rPr>
        <w:t xml:space="preserve"> – Cuentas por cobrar</w:t>
      </w:r>
      <w:r>
        <w:rPr>
          <w:rFonts w:cs="Arial"/>
          <w:szCs w:val="22"/>
        </w:rPr>
        <w:t>:</w:t>
      </w:r>
    </w:p>
    <w:p w14:paraId="4827CDC6" w14:textId="6E220330" w:rsidR="0013726C" w:rsidRDefault="0013726C" w:rsidP="003812D9">
      <w:pPr>
        <w:suppressAutoHyphens w:val="0"/>
        <w:autoSpaceDN/>
        <w:textAlignment w:val="auto"/>
        <w:rPr>
          <w:rFonts w:cs="Arial"/>
          <w:szCs w:val="22"/>
        </w:rPr>
      </w:pPr>
    </w:p>
    <w:p w14:paraId="57DF1BA4" w14:textId="6D40A720" w:rsidR="0013726C" w:rsidRDefault="0013726C" w:rsidP="0013726C">
      <w:pPr>
        <w:suppressAutoHyphens w:val="0"/>
        <w:autoSpaceDN/>
        <w:textAlignment w:val="auto"/>
        <w:rPr>
          <w:rFonts w:cs="Arial"/>
          <w:szCs w:val="22"/>
        </w:rPr>
      </w:pPr>
      <w:r>
        <w:rPr>
          <w:rFonts w:cs="Arial"/>
          <w:szCs w:val="22"/>
        </w:rPr>
        <w:t>El promedio total de cumplimiento fue del 75% (Tesorería 100% - OAJ 50%), cuyos resultados estuvieron afectados por las siguientes actividades:</w:t>
      </w:r>
    </w:p>
    <w:p w14:paraId="253456B8" w14:textId="77777777" w:rsidR="0013726C" w:rsidRDefault="0013726C" w:rsidP="0013726C">
      <w:pPr>
        <w:suppressAutoHyphens w:val="0"/>
        <w:autoSpaceDN/>
        <w:textAlignment w:val="auto"/>
        <w:rPr>
          <w:rFonts w:cs="Arial"/>
          <w:szCs w:val="22"/>
        </w:rPr>
      </w:pPr>
    </w:p>
    <w:p w14:paraId="63EF9926" w14:textId="08E12574" w:rsidR="0013726C" w:rsidRDefault="0013726C" w:rsidP="0013726C">
      <w:pPr>
        <w:suppressAutoHyphens w:val="0"/>
        <w:autoSpaceDN/>
        <w:textAlignment w:val="auto"/>
        <w:rPr>
          <w:rFonts w:cs="Arial"/>
          <w:szCs w:val="22"/>
        </w:rPr>
      </w:pPr>
      <w:r>
        <w:rPr>
          <w:rFonts w:cs="Arial"/>
          <w:szCs w:val="22"/>
        </w:rPr>
        <w:t xml:space="preserve">OAJ: no se evidenció el reporte al área contable del </w:t>
      </w:r>
      <w:r w:rsidRPr="0013726C">
        <w:rPr>
          <w:rFonts w:cs="Arial"/>
          <w:szCs w:val="22"/>
        </w:rPr>
        <w:t>análisis de la antigüedad de las cuentas por cobrar que estén en mora</w:t>
      </w:r>
      <w:r>
        <w:rPr>
          <w:rFonts w:cs="Arial"/>
          <w:szCs w:val="22"/>
        </w:rPr>
        <w:t>,</w:t>
      </w:r>
      <w:r w:rsidRPr="0013726C">
        <w:rPr>
          <w:rFonts w:cs="Arial"/>
          <w:szCs w:val="22"/>
        </w:rPr>
        <w:t xml:space="preserve"> pero no deterioradas al final del periodo</w:t>
      </w:r>
      <w:r>
        <w:rPr>
          <w:rFonts w:cs="Arial"/>
          <w:szCs w:val="22"/>
        </w:rPr>
        <w:t>, tal como es requerido en la actividad descrita en el PSC.</w:t>
      </w:r>
    </w:p>
    <w:p w14:paraId="29E14CB0" w14:textId="16D16F1C" w:rsidR="0013726C" w:rsidRDefault="0013726C" w:rsidP="003812D9">
      <w:pPr>
        <w:suppressAutoHyphens w:val="0"/>
        <w:autoSpaceDN/>
        <w:textAlignment w:val="auto"/>
        <w:rPr>
          <w:rFonts w:cs="Arial"/>
          <w:szCs w:val="22"/>
        </w:rPr>
      </w:pPr>
    </w:p>
    <w:p w14:paraId="7BA05006" w14:textId="108AED35" w:rsidR="00854568" w:rsidRDefault="00854568" w:rsidP="00854568">
      <w:pPr>
        <w:suppressAutoHyphens w:val="0"/>
        <w:autoSpaceDN/>
        <w:jc w:val="center"/>
        <w:textAlignment w:val="auto"/>
        <w:rPr>
          <w:rFonts w:cs="Arial"/>
          <w:szCs w:val="22"/>
        </w:rPr>
      </w:pPr>
      <w:r w:rsidRPr="007E2177">
        <w:rPr>
          <w:noProof/>
          <w:sz w:val="16"/>
          <w:szCs w:val="16"/>
          <w:lang w:val="es-CO" w:eastAsia="es-CO"/>
        </w:rPr>
        <w:lastRenderedPageBreak/>
        <w:drawing>
          <wp:inline distT="0" distB="0" distL="0" distR="0" wp14:anchorId="3CBACD77" wp14:editId="20C0FF4F">
            <wp:extent cx="3338513" cy="1685558"/>
            <wp:effectExtent l="19050" t="19050" r="14605" b="10160"/>
            <wp:docPr id="8" name="Gráf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3353049" cy="1692897"/>
                    </a:xfrm>
                    <a:prstGeom prst="rect">
                      <a:avLst/>
                    </a:prstGeom>
                    <a:ln w="3175">
                      <a:solidFill>
                        <a:schemeClr val="tx1">
                          <a:lumMod val="50000"/>
                          <a:lumOff val="50000"/>
                        </a:schemeClr>
                      </a:solidFill>
                    </a:ln>
                  </pic:spPr>
                </pic:pic>
              </a:graphicData>
            </a:graphic>
          </wp:inline>
        </w:drawing>
      </w:r>
    </w:p>
    <w:p w14:paraId="61941375" w14:textId="4C3C36A0" w:rsidR="003D129F" w:rsidRPr="003D129F" w:rsidRDefault="003D129F" w:rsidP="003D129F">
      <w:pPr>
        <w:jc w:val="center"/>
        <w:rPr>
          <w:rFonts w:cs="Arial"/>
          <w:sz w:val="16"/>
          <w:szCs w:val="16"/>
        </w:rPr>
      </w:pPr>
      <w:r>
        <w:rPr>
          <w:rFonts w:cs="Arial"/>
          <w:bCs/>
          <w:sz w:val="16"/>
          <w:szCs w:val="16"/>
        </w:rPr>
        <w:t>Gráfica No. 3</w:t>
      </w:r>
      <w:r w:rsidRPr="003D129F">
        <w:rPr>
          <w:rFonts w:cs="Arial"/>
          <w:bCs/>
          <w:sz w:val="16"/>
          <w:szCs w:val="16"/>
        </w:rPr>
        <w:t xml:space="preserve"> – Fuente: Papeles de trabajo OCI</w:t>
      </w:r>
    </w:p>
    <w:p w14:paraId="7A7580F5" w14:textId="77777777" w:rsidR="0013726C" w:rsidRDefault="0013726C" w:rsidP="003812D9">
      <w:pPr>
        <w:suppressAutoHyphens w:val="0"/>
        <w:autoSpaceDN/>
        <w:textAlignment w:val="auto"/>
        <w:rPr>
          <w:rFonts w:cs="Arial"/>
          <w:szCs w:val="22"/>
        </w:rPr>
      </w:pPr>
    </w:p>
    <w:p w14:paraId="59F9BC82" w14:textId="77777777" w:rsidR="00BB6382" w:rsidRDefault="00BB6382" w:rsidP="003812D9">
      <w:pPr>
        <w:suppressAutoHyphens w:val="0"/>
        <w:autoSpaceDN/>
        <w:textAlignment w:val="auto"/>
        <w:rPr>
          <w:rFonts w:cs="Arial"/>
          <w:szCs w:val="22"/>
        </w:rPr>
      </w:pPr>
    </w:p>
    <w:p w14:paraId="2C698313" w14:textId="0EA30DF6" w:rsidR="0013726C" w:rsidRDefault="0013726C" w:rsidP="003812D9">
      <w:pPr>
        <w:suppressAutoHyphens w:val="0"/>
        <w:autoSpaceDN/>
        <w:textAlignment w:val="auto"/>
        <w:rPr>
          <w:rFonts w:cs="Arial"/>
          <w:szCs w:val="22"/>
        </w:rPr>
      </w:pPr>
      <w:r w:rsidRPr="0013726C">
        <w:rPr>
          <w:rFonts w:cs="Arial"/>
          <w:b/>
          <w:bCs/>
          <w:szCs w:val="22"/>
        </w:rPr>
        <w:t>Tema 5</w:t>
      </w:r>
      <w:r>
        <w:rPr>
          <w:rFonts w:cs="Arial"/>
          <w:b/>
          <w:bCs/>
          <w:szCs w:val="22"/>
        </w:rPr>
        <w:t xml:space="preserve"> – Préstamos de vivienda</w:t>
      </w:r>
      <w:r>
        <w:rPr>
          <w:rFonts w:cs="Arial"/>
          <w:szCs w:val="22"/>
        </w:rPr>
        <w:t>:</w:t>
      </w:r>
    </w:p>
    <w:p w14:paraId="429D9ED7" w14:textId="67E2291F" w:rsidR="0013726C" w:rsidRDefault="0013726C" w:rsidP="003812D9">
      <w:pPr>
        <w:suppressAutoHyphens w:val="0"/>
        <w:autoSpaceDN/>
        <w:textAlignment w:val="auto"/>
        <w:rPr>
          <w:rFonts w:cs="Arial"/>
          <w:szCs w:val="22"/>
        </w:rPr>
      </w:pPr>
    </w:p>
    <w:p w14:paraId="2EEE0821" w14:textId="39736339" w:rsidR="0013726C" w:rsidRDefault="0013726C" w:rsidP="0013726C">
      <w:pPr>
        <w:suppressAutoHyphens w:val="0"/>
        <w:autoSpaceDN/>
        <w:textAlignment w:val="auto"/>
        <w:rPr>
          <w:rFonts w:cs="Arial"/>
          <w:szCs w:val="22"/>
        </w:rPr>
      </w:pPr>
      <w:r>
        <w:rPr>
          <w:rFonts w:cs="Arial"/>
          <w:szCs w:val="22"/>
        </w:rPr>
        <w:t>El promedio total de cumplimiento fue del 67% (</w:t>
      </w:r>
      <w:r w:rsidR="00C17C2E">
        <w:rPr>
          <w:rFonts w:cs="Arial"/>
          <w:szCs w:val="22"/>
        </w:rPr>
        <w:t>SAF-</w:t>
      </w:r>
      <w:r>
        <w:rPr>
          <w:rFonts w:cs="Arial"/>
          <w:szCs w:val="22"/>
        </w:rPr>
        <w:t>Talento Humano 100% - Tesorería 50%</w:t>
      </w:r>
      <w:r w:rsidR="00C17C2E">
        <w:rPr>
          <w:rFonts w:cs="Arial"/>
          <w:szCs w:val="22"/>
        </w:rPr>
        <w:t xml:space="preserve"> - OAJ 50%</w:t>
      </w:r>
      <w:r>
        <w:rPr>
          <w:rFonts w:cs="Arial"/>
          <w:szCs w:val="22"/>
        </w:rPr>
        <w:t>), cuyos resultados estuvieron afectados por las siguientes actividades:</w:t>
      </w:r>
    </w:p>
    <w:p w14:paraId="7CBA9AA6" w14:textId="77777777" w:rsidR="0013726C" w:rsidRDefault="0013726C" w:rsidP="0013726C">
      <w:pPr>
        <w:suppressAutoHyphens w:val="0"/>
        <w:autoSpaceDN/>
        <w:textAlignment w:val="auto"/>
        <w:rPr>
          <w:rFonts w:cs="Arial"/>
          <w:szCs w:val="22"/>
        </w:rPr>
      </w:pPr>
    </w:p>
    <w:p w14:paraId="1DCBC925" w14:textId="4FD42AFF" w:rsidR="0013726C" w:rsidRDefault="0013726C" w:rsidP="0013726C">
      <w:pPr>
        <w:suppressAutoHyphens w:val="0"/>
        <w:autoSpaceDN/>
        <w:textAlignment w:val="auto"/>
        <w:rPr>
          <w:rFonts w:cs="Arial"/>
          <w:szCs w:val="22"/>
        </w:rPr>
      </w:pPr>
      <w:r>
        <w:rPr>
          <w:rFonts w:cs="Arial"/>
          <w:szCs w:val="22"/>
        </w:rPr>
        <w:t xml:space="preserve">Tesorería: </w:t>
      </w:r>
      <w:r w:rsidR="00854568">
        <w:rPr>
          <w:rFonts w:cs="Arial"/>
          <w:szCs w:val="22"/>
        </w:rPr>
        <w:t xml:space="preserve">revisadas las revelaciones de los estados financieros de la vigencia 2020, </w:t>
      </w:r>
      <w:r>
        <w:rPr>
          <w:rFonts w:cs="Arial"/>
          <w:szCs w:val="22"/>
        </w:rPr>
        <w:t xml:space="preserve">no se evidenció </w:t>
      </w:r>
      <w:r w:rsidR="00854568">
        <w:rPr>
          <w:rFonts w:cs="Arial"/>
          <w:szCs w:val="22"/>
        </w:rPr>
        <w:t xml:space="preserve">que éstas </w:t>
      </w:r>
      <w:r w:rsidRPr="0013726C">
        <w:rPr>
          <w:rFonts w:cs="Arial"/>
          <w:szCs w:val="22"/>
        </w:rPr>
        <w:t>contenga</w:t>
      </w:r>
      <w:r w:rsidR="00854568">
        <w:rPr>
          <w:rFonts w:cs="Arial"/>
          <w:szCs w:val="22"/>
        </w:rPr>
        <w:t>n</w:t>
      </w:r>
      <w:r w:rsidRPr="0013726C">
        <w:rPr>
          <w:rFonts w:cs="Arial"/>
          <w:szCs w:val="22"/>
        </w:rPr>
        <w:t xml:space="preserve"> el valor en libros y las condiciones de los préstamos por cobrar, tales como: plazo, tasa de interés y vencimiento</w:t>
      </w:r>
      <w:r>
        <w:rPr>
          <w:rFonts w:cs="Arial"/>
          <w:szCs w:val="22"/>
        </w:rPr>
        <w:t>, tal como es requerido en la actividad descrita en el PSC.</w:t>
      </w:r>
    </w:p>
    <w:p w14:paraId="15D1C1C5" w14:textId="7A998C85" w:rsidR="00C17C2E" w:rsidRDefault="00C17C2E" w:rsidP="0013726C">
      <w:pPr>
        <w:suppressAutoHyphens w:val="0"/>
        <w:autoSpaceDN/>
        <w:textAlignment w:val="auto"/>
        <w:rPr>
          <w:rFonts w:cs="Arial"/>
          <w:szCs w:val="22"/>
        </w:rPr>
      </w:pPr>
    </w:p>
    <w:p w14:paraId="2A3F81B3" w14:textId="3CFF480E" w:rsidR="00BB6382" w:rsidRDefault="00C17C2E" w:rsidP="00BB6382">
      <w:pPr>
        <w:suppressAutoHyphens w:val="0"/>
        <w:autoSpaceDN/>
        <w:textAlignment w:val="auto"/>
        <w:rPr>
          <w:rFonts w:cs="Arial"/>
          <w:szCs w:val="22"/>
        </w:rPr>
      </w:pPr>
      <w:r>
        <w:rPr>
          <w:rFonts w:cs="Arial"/>
          <w:szCs w:val="22"/>
        </w:rPr>
        <w:t xml:space="preserve">OAJ: no se evidenció el reporte al área contable del </w:t>
      </w:r>
      <w:r w:rsidRPr="0013726C">
        <w:rPr>
          <w:rFonts w:cs="Arial"/>
          <w:szCs w:val="22"/>
        </w:rPr>
        <w:t>análisis de la antigüedad de l</w:t>
      </w:r>
      <w:r>
        <w:rPr>
          <w:rFonts w:cs="Arial"/>
          <w:szCs w:val="22"/>
        </w:rPr>
        <w:t xml:space="preserve">os préstamos </w:t>
      </w:r>
      <w:r w:rsidRPr="0013726C">
        <w:rPr>
          <w:rFonts w:cs="Arial"/>
          <w:szCs w:val="22"/>
        </w:rPr>
        <w:t>por cobrar que estén en mora</w:t>
      </w:r>
      <w:r>
        <w:rPr>
          <w:rFonts w:cs="Arial"/>
          <w:szCs w:val="22"/>
        </w:rPr>
        <w:t>,</w:t>
      </w:r>
      <w:r w:rsidRPr="0013726C">
        <w:rPr>
          <w:rFonts w:cs="Arial"/>
          <w:szCs w:val="22"/>
        </w:rPr>
        <w:t xml:space="preserve"> pero no deteriorad</w:t>
      </w:r>
      <w:r>
        <w:rPr>
          <w:rFonts w:cs="Arial"/>
          <w:szCs w:val="22"/>
        </w:rPr>
        <w:t>o</w:t>
      </w:r>
      <w:r w:rsidRPr="0013726C">
        <w:rPr>
          <w:rFonts w:cs="Arial"/>
          <w:szCs w:val="22"/>
        </w:rPr>
        <w:t>s al final del periodo</w:t>
      </w:r>
      <w:r>
        <w:rPr>
          <w:rFonts w:cs="Arial"/>
          <w:szCs w:val="22"/>
        </w:rPr>
        <w:t>, tal como es requerido en la actividad descrita en el PSC.</w:t>
      </w:r>
    </w:p>
    <w:p w14:paraId="287C0A71" w14:textId="77777777" w:rsidR="007E2177" w:rsidRPr="00BB6382" w:rsidRDefault="007E2177" w:rsidP="00BB6382">
      <w:pPr>
        <w:suppressAutoHyphens w:val="0"/>
        <w:autoSpaceDN/>
        <w:textAlignment w:val="auto"/>
        <w:rPr>
          <w:rFonts w:cs="Arial"/>
          <w:szCs w:val="22"/>
        </w:rPr>
      </w:pPr>
    </w:p>
    <w:p w14:paraId="28318956" w14:textId="036C1441" w:rsidR="00851FDF" w:rsidRDefault="00851FDF" w:rsidP="00851FDF">
      <w:pPr>
        <w:jc w:val="center"/>
        <w:rPr>
          <w:rFonts w:cs="Arial"/>
          <w:bCs/>
          <w:sz w:val="16"/>
          <w:szCs w:val="16"/>
        </w:rPr>
      </w:pPr>
      <w:r>
        <w:rPr>
          <w:noProof/>
          <w:lang w:val="es-CO" w:eastAsia="es-CO"/>
        </w:rPr>
        <w:drawing>
          <wp:inline distT="0" distB="0" distL="0" distR="0" wp14:anchorId="0329559A" wp14:editId="0AF22915">
            <wp:extent cx="3748088" cy="2049780"/>
            <wp:effectExtent l="0" t="0" r="5080" b="762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F75B5D" w14:textId="764B203A" w:rsidR="00C17C2E" w:rsidRPr="003D129F" w:rsidRDefault="003D129F" w:rsidP="003D129F">
      <w:pPr>
        <w:jc w:val="center"/>
        <w:rPr>
          <w:rFonts w:cs="Arial"/>
          <w:sz w:val="16"/>
          <w:szCs w:val="16"/>
        </w:rPr>
      </w:pPr>
      <w:r>
        <w:rPr>
          <w:rFonts w:cs="Arial"/>
          <w:bCs/>
          <w:sz w:val="16"/>
          <w:szCs w:val="16"/>
        </w:rPr>
        <w:t>Gráfica No. 4</w:t>
      </w:r>
      <w:r w:rsidRPr="003D129F">
        <w:rPr>
          <w:rFonts w:cs="Arial"/>
          <w:bCs/>
          <w:sz w:val="16"/>
          <w:szCs w:val="16"/>
        </w:rPr>
        <w:t xml:space="preserve"> – Fuente: Papeles de trabajo OCI</w:t>
      </w:r>
    </w:p>
    <w:p w14:paraId="6E1C47F2" w14:textId="071ECB5F" w:rsidR="0013726C" w:rsidRDefault="0013726C" w:rsidP="003812D9">
      <w:pPr>
        <w:suppressAutoHyphens w:val="0"/>
        <w:autoSpaceDN/>
        <w:textAlignment w:val="auto"/>
        <w:rPr>
          <w:rFonts w:cs="Arial"/>
          <w:szCs w:val="22"/>
        </w:rPr>
      </w:pPr>
    </w:p>
    <w:p w14:paraId="436CAC97" w14:textId="3B25F5B9" w:rsidR="007E2177" w:rsidRDefault="007E2177" w:rsidP="003812D9">
      <w:pPr>
        <w:suppressAutoHyphens w:val="0"/>
        <w:autoSpaceDN/>
        <w:textAlignment w:val="auto"/>
        <w:rPr>
          <w:rFonts w:cs="Arial"/>
          <w:szCs w:val="22"/>
        </w:rPr>
      </w:pPr>
    </w:p>
    <w:p w14:paraId="3A507E05" w14:textId="77777777" w:rsidR="007E2177" w:rsidRDefault="007E2177" w:rsidP="003812D9">
      <w:pPr>
        <w:suppressAutoHyphens w:val="0"/>
        <w:autoSpaceDN/>
        <w:textAlignment w:val="auto"/>
        <w:rPr>
          <w:rFonts w:cs="Arial"/>
          <w:szCs w:val="22"/>
        </w:rPr>
      </w:pPr>
    </w:p>
    <w:p w14:paraId="17691DC6" w14:textId="02B9F02C" w:rsidR="0013726C" w:rsidRDefault="0013726C" w:rsidP="003812D9">
      <w:pPr>
        <w:suppressAutoHyphens w:val="0"/>
        <w:autoSpaceDN/>
        <w:textAlignment w:val="auto"/>
        <w:rPr>
          <w:rFonts w:cs="Arial"/>
          <w:szCs w:val="22"/>
        </w:rPr>
      </w:pPr>
      <w:r w:rsidRPr="0013726C">
        <w:rPr>
          <w:rFonts w:cs="Arial"/>
          <w:b/>
          <w:bCs/>
          <w:szCs w:val="22"/>
        </w:rPr>
        <w:t>Tema 12 – Recursos entregados / recibidos en administración</w:t>
      </w:r>
      <w:r>
        <w:rPr>
          <w:rFonts w:cs="Arial"/>
          <w:szCs w:val="22"/>
        </w:rPr>
        <w:t>:</w:t>
      </w:r>
    </w:p>
    <w:p w14:paraId="36EAE2B1" w14:textId="3FBFFAA5" w:rsidR="0013726C" w:rsidRDefault="0013726C" w:rsidP="003812D9">
      <w:pPr>
        <w:suppressAutoHyphens w:val="0"/>
        <w:autoSpaceDN/>
        <w:textAlignment w:val="auto"/>
        <w:rPr>
          <w:rFonts w:cs="Arial"/>
          <w:szCs w:val="22"/>
        </w:rPr>
      </w:pPr>
    </w:p>
    <w:p w14:paraId="42FF543F" w14:textId="658E54A2" w:rsidR="00C17C2E" w:rsidRDefault="00C17C2E" w:rsidP="003812D9">
      <w:pPr>
        <w:suppressAutoHyphens w:val="0"/>
        <w:autoSpaceDN/>
        <w:textAlignment w:val="auto"/>
        <w:rPr>
          <w:rFonts w:cs="Arial"/>
          <w:szCs w:val="22"/>
        </w:rPr>
      </w:pPr>
      <w:r>
        <w:rPr>
          <w:rFonts w:cs="Arial"/>
          <w:szCs w:val="22"/>
        </w:rPr>
        <w:t xml:space="preserve">El </w:t>
      </w:r>
      <w:r w:rsidR="00115CE8">
        <w:rPr>
          <w:rFonts w:cs="Arial"/>
          <w:szCs w:val="22"/>
        </w:rPr>
        <w:t xml:space="preserve">resultado arrojado en el seguimiento fue de </w:t>
      </w:r>
      <w:r w:rsidR="00854568">
        <w:rPr>
          <w:rFonts w:cs="Arial"/>
          <w:szCs w:val="22"/>
        </w:rPr>
        <w:t xml:space="preserve">STP N/A - </w:t>
      </w:r>
      <w:r>
        <w:rPr>
          <w:rFonts w:cs="Arial"/>
          <w:szCs w:val="22"/>
        </w:rPr>
        <w:t>ST</w:t>
      </w:r>
      <w:r w:rsidR="006A7466">
        <w:rPr>
          <w:rFonts w:cs="Arial"/>
          <w:szCs w:val="22"/>
        </w:rPr>
        <w:t>C</w:t>
      </w:r>
      <w:r>
        <w:rPr>
          <w:rFonts w:cs="Arial"/>
          <w:szCs w:val="22"/>
        </w:rPr>
        <w:t xml:space="preserve"> </w:t>
      </w:r>
      <w:r w:rsidR="00854568">
        <w:rPr>
          <w:rFonts w:cs="Arial"/>
          <w:szCs w:val="22"/>
        </w:rPr>
        <w:t>50</w:t>
      </w:r>
      <w:r>
        <w:rPr>
          <w:rFonts w:cs="Arial"/>
          <w:szCs w:val="22"/>
        </w:rPr>
        <w:t xml:space="preserve">% - </w:t>
      </w:r>
      <w:r w:rsidR="00854568">
        <w:rPr>
          <w:rFonts w:cs="Arial"/>
          <w:szCs w:val="22"/>
        </w:rPr>
        <w:t>STRD</w:t>
      </w:r>
      <w:r>
        <w:rPr>
          <w:rFonts w:cs="Arial"/>
          <w:szCs w:val="22"/>
        </w:rPr>
        <w:t xml:space="preserve"> </w:t>
      </w:r>
      <w:r w:rsidR="00854568">
        <w:rPr>
          <w:rFonts w:cs="Arial"/>
          <w:szCs w:val="22"/>
        </w:rPr>
        <w:t>Sin respuesta</w:t>
      </w:r>
      <w:r w:rsidR="00115CE8">
        <w:rPr>
          <w:rFonts w:cs="Arial"/>
          <w:szCs w:val="22"/>
        </w:rPr>
        <w:t>. Lo resultados de la STC</w:t>
      </w:r>
      <w:r>
        <w:rPr>
          <w:rFonts w:cs="Arial"/>
          <w:szCs w:val="22"/>
        </w:rPr>
        <w:t xml:space="preserve"> estuvieron afectados por las siguientes actividades:</w:t>
      </w:r>
    </w:p>
    <w:p w14:paraId="490888B0" w14:textId="77777777" w:rsidR="0013726C" w:rsidRDefault="0013726C" w:rsidP="003812D9">
      <w:pPr>
        <w:suppressAutoHyphens w:val="0"/>
        <w:autoSpaceDN/>
        <w:textAlignment w:val="auto"/>
        <w:rPr>
          <w:rFonts w:cs="Arial"/>
          <w:szCs w:val="22"/>
        </w:rPr>
      </w:pPr>
    </w:p>
    <w:p w14:paraId="3BFEE7FC" w14:textId="797E41E2" w:rsidR="006A7466" w:rsidRDefault="00115CE8" w:rsidP="006A7466">
      <w:pPr>
        <w:suppressAutoHyphens w:val="0"/>
        <w:autoSpaceDN/>
        <w:textAlignment w:val="auto"/>
        <w:rPr>
          <w:rFonts w:cs="Arial"/>
          <w:szCs w:val="22"/>
        </w:rPr>
      </w:pPr>
      <w:r>
        <w:rPr>
          <w:rFonts w:cs="Arial"/>
          <w:szCs w:val="22"/>
        </w:rPr>
        <w:lastRenderedPageBreak/>
        <w:t>N</w:t>
      </w:r>
      <w:r w:rsidR="006A7466">
        <w:rPr>
          <w:rFonts w:cs="Arial"/>
          <w:szCs w:val="22"/>
        </w:rPr>
        <w:t>o fue aportada evidencia del i</w:t>
      </w:r>
      <w:r w:rsidR="006A7466" w:rsidRPr="006A7466">
        <w:rPr>
          <w:rFonts w:cs="Arial"/>
          <w:szCs w:val="22"/>
        </w:rPr>
        <w:t>nform</w:t>
      </w:r>
      <w:r w:rsidR="006A7466">
        <w:rPr>
          <w:rFonts w:cs="Arial"/>
          <w:szCs w:val="22"/>
        </w:rPr>
        <w:t>e</w:t>
      </w:r>
      <w:r w:rsidR="006A7466" w:rsidRPr="006A7466">
        <w:rPr>
          <w:rFonts w:cs="Arial"/>
          <w:szCs w:val="22"/>
        </w:rPr>
        <w:t xml:space="preserve"> </w:t>
      </w:r>
      <w:r w:rsidR="006A7466">
        <w:rPr>
          <w:rFonts w:cs="Arial"/>
          <w:szCs w:val="22"/>
        </w:rPr>
        <w:t xml:space="preserve">de </w:t>
      </w:r>
      <w:r w:rsidR="006A7466" w:rsidRPr="006A7466">
        <w:rPr>
          <w:rFonts w:cs="Arial"/>
          <w:szCs w:val="22"/>
        </w:rPr>
        <w:t>los pagos o abonos en cuenta que el IDRD ha recibido en virtud de</w:t>
      </w:r>
      <w:r>
        <w:rPr>
          <w:rFonts w:cs="Arial"/>
          <w:szCs w:val="22"/>
        </w:rPr>
        <w:t xml:space="preserve"> </w:t>
      </w:r>
      <w:r w:rsidR="006A7466" w:rsidRPr="006A7466">
        <w:rPr>
          <w:rFonts w:cs="Arial"/>
          <w:szCs w:val="22"/>
        </w:rPr>
        <w:t>l</w:t>
      </w:r>
      <w:r>
        <w:rPr>
          <w:rFonts w:cs="Arial"/>
          <w:szCs w:val="22"/>
        </w:rPr>
        <w:t>os</w:t>
      </w:r>
      <w:r w:rsidR="006A7466" w:rsidRPr="006A7466">
        <w:rPr>
          <w:rFonts w:cs="Arial"/>
          <w:szCs w:val="22"/>
        </w:rPr>
        <w:t xml:space="preserve"> convenio</w:t>
      </w:r>
      <w:r>
        <w:rPr>
          <w:rFonts w:cs="Arial"/>
          <w:szCs w:val="22"/>
        </w:rPr>
        <w:t>s interadministrativos celebrados</w:t>
      </w:r>
      <w:r w:rsidR="006A7466" w:rsidRPr="006A7466">
        <w:rPr>
          <w:rFonts w:cs="Arial"/>
          <w:szCs w:val="22"/>
        </w:rPr>
        <w:t xml:space="preserve">, </w:t>
      </w:r>
      <w:r>
        <w:rPr>
          <w:rFonts w:cs="Arial"/>
          <w:szCs w:val="22"/>
        </w:rPr>
        <w:t>los</w:t>
      </w:r>
      <w:r w:rsidR="006A7466" w:rsidRPr="006A7466">
        <w:rPr>
          <w:rFonts w:cs="Arial"/>
          <w:szCs w:val="22"/>
        </w:rPr>
        <w:t xml:space="preserve"> cual</w:t>
      </w:r>
      <w:r>
        <w:rPr>
          <w:rFonts w:cs="Arial"/>
          <w:szCs w:val="22"/>
        </w:rPr>
        <w:t>es</w:t>
      </w:r>
      <w:r w:rsidR="006A7466" w:rsidRPr="006A7466">
        <w:rPr>
          <w:rFonts w:cs="Arial"/>
          <w:szCs w:val="22"/>
        </w:rPr>
        <w:t xml:space="preserve"> debe</w:t>
      </w:r>
      <w:r>
        <w:rPr>
          <w:rFonts w:cs="Arial"/>
          <w:szCs w:val="22"/>
        </w:rPr>
        <w:t>n</w:t>
      </w:r>
      <w:r w:rsidR="006A7466" w:rsidRPr="006A7466">
        <w:rPr>
          <w:rFonts w:cs="Arial"/>
          <w:szCs w:val="22"/>
        </w:rPr>
        <w:t xml:space="preserve"> estar suscrito</w:t>
      </w:r>
      <w:r>
        <w:rPr>
          <w:rFonts w:cs="Arial"/>
          <w:szCs w:val="22"/>
        </w:rPr>
        <w:t>s</w:t>
      </w:r>
      <w:r w:rsidR="006A7466" w:rsidRPr="006A7466">
        <w:rPr>
          <w:rFonts w:cs="Arial"/>
          <w:szCs w:val="22"/>
        </w:rPr>
        <w:t xml:space="preserve"> por el supervisor del convenio y el respectivo subdirector</w:t>
      </w:r>
      <w:r w:rsidR="006A7466">
        <w:rPr>
          <w:rFonts w:cs="Arial"/>
          <w:szCs w:val="22"/>
        </w:rPr>
        <w:t>, e</w:t>
      </w:r>
      <w:r w:rsidR="006A7466" w:rsidRPr="006A7466">
        <w:rPr>
          <w:rFonts w:cs="Arial"/>
          <w:szCs w:val="22"/>
        </w:rPr>
        <w:t>n donde se detalle: número de orden de pago, fecha de la orden de pago, NIT o cédula del beneficiario del pago, concepto y valor.</w:t>
      </w:r>
    </w:p>
    <w:p w14:paraId="15536964" w14:textId="125AFE6D" w:rsidR="006A7466" w:rsidRDefault="006A7466" w:rsidP="006A7466">
      <w:pPr>
        <w:suppressAutoHyphens w:val="0"/>
        <w:autoSpaceDN/>
        <w:textAlignment w:val="auto"/>
        <w:rPr>
          <w:rFonts w:cs="Arial"/>
          <w:szCs w:val="22"/>
        </w:rPr>
      </w:pPr>
    </w:p>
    <w:p w14:paraId="5208EF04" w14:textId="4E971399" w:rsidR="006A7466" w:rsidRDefault="006A7466" w:rsidP="006A7466">
      <w:pPr>
        <w:suppressAutoHyphens w:val="0"/>
        <w:autoSpaceDN/>
        <w:textAlignment w:val="auto"/>
        <w:rPr>
          <w:rFonts w:cs="Arial"/>
          <w:szCs w:val="22"/>
        </w:rPr>
      </w:pPr>
      <w:r>
        <w:rPr>
          <w:rFonts w:cs="Arial"/>
          <w:szCs w:val="22"/>
        </w:rPr>
        <w:t xml:space="preserve">Para su seguimiento se revisó </w:t>
      </w:r>
      <w:r w:rsidRPr="0013726C">
        <w:rPr>
          <w:rFonts w:cs="Arial"/>
          <w:szCs w:val="22"/>
        </w:rPr>
        <w:t>la Nota ‘24.1 Desglose-subcuentas otros’ de los Estados Financieros 2020</w:t>
      </w:r>
      <w:r>
        <w:rPr>
          <w:rFonts w:cs="Arial"/>
          <w:szCs w:val="22"/>
        </w:rPr>
        <w:t xml:space="preserve"> </w:t>
      </w:r>
      <w:r w:rsidRPr="0013726C">
        <w:rPr>
          <w:rFonts w:cs="Arial"/>
          <w:szCs w:val="22"/>
        </w:rPr>
        <w:t>que discrimina los recursos recibidos en administración, observan</w:t>
      </w:r>
      <w:r>
        <w:rPr>
          <w:rFonts w:cs="Arial"/>
          <w:szCs w:val="22"/>
        </w:rPr>
        <w:t>do</w:t>
      </w:r>
      <w:r w:rsidRPr="0013726C">
        <w:rPr>
          <w:rFonts w:cs="Arial"/>
          <w:szCs w:val="22"/>
        </w:rPr>
        <w:t xml:space="preserve"> convenios interadministrativos de los cuales no se aportó evidencia </w:t>
      </w:r>
      <w:r>
        <w:rPr>
          <w:rFonts w:cs="Arial"/>
          <w:szCs w:val="22"/>
        </w:rPr>
        <w:t xml:space="preserve">relacionada con </w:t>
      </w:r>
      <w:r w:rsidRPr="0013726C">
        <w:rPr>
          <w:rFonts w:cs="Arial"/>
          <w:szCs w:val="22"/>
        </w:rPr>
        <w:t>la ejecución de la actividad del PSC.</w:t>
      </w:r>
    </w:p>
    <w:p w14:paraId="08429BBF" w14:textId="77777777" w:rsidR="00115CE8" w:rsidRDefault="00115CE8" w:rsidP="006A7466">
      <w:pPr>
        <w:suppressAutoHyphens w:val="0"/>
        <w:autoSpaceDN/>
        <w:textAlignment w:val="auto"/>
        <w:rPr>
          <w:rFonts w:cs="Arial"/>
          <w:szCs w:val="22"/>
        </w:rPr>
      </w:pPr>
    </w:p>
    <w:p w14:paraId="244E7564" w14:textId="7BB27515" w:rsidR="00C17C2E" w:rsidRDefault="0013726C" w:rsidP="006A7466">
      <w:pPr>
        <w:suppressAutoHyphens w:val="0"/>
        <w:autoSpaceDN/>
        <w:textAlignment w:val="auto"/>
        <w:rPr>
          <w:rFonts w:cs="Arial"/>
          <w:szCs w:val="22"/>
        </w:rPr>
      </w:pPr>
      <w:r>
        <w:rPr>
          <w:rFonts w:cs="Arial"/>
          <w:szCs w:val="22"/>
        </w:rPr>
        <w:t xml:space="preserve">STRD: no </w:t>
      </w:r>
      <w:r w:rsidR="00C17C2E">
        <w:rPr>
          <w:rFonts w:cs="Arial"/>
          <w:szCs w:val="22"/>
        </w:rPr>
        <w:t xml:space="preserve">dio respuesta al requerimiento de información </w:t>
      </w:r>
      <w:r w:rsidR="006A7466">
        <w:rPr>
          <w:rFonts w:cs="Arial"/>
          <w:szCs w:val="22"/>
        </w:rPr>
        <w:t xml:space="preserve">del 17-mar-2021 </w:t>
      </w:r>
      <w:r w:rsidR="00C17C2E">
        <w:rPr>
          <w:rFonts w:cs="Arial"/>
          <w:szCs w:val="22"/>
        </w:rPr>
        <w:t>ni a la reiteración</w:t>
      </w:r>
      <w:r w:rsidR="006A7466">
        <w:rPr>
          <w:rFonts w:cs="Arial"/>
          <w:szCs w:val="22"/>
        </w:rPr>
        <w:t xml:space="preserve"> del 16-abr-2021.</w:t>
      </w:r>
    </w:p>
    <w:p w14:paraId="74C46DFC" w14:textId="77777777" w:rsidR="006D2D03" w:rsidRDefault="006D2D03">
      <w:pPr>
        <w:suppressAutoHyphens w:val="0"/>
        <w:autoSpaceDN/>
        <w:jc w:val="left"/>
        <w:textAlignment w:val="auto"/>
        <w:rPr>
          <w:rFonts w:cs="Arial"/>
          <w:szCs w:val="22"/>
        </w:rPr>
      </w:pPr>
    </w:p>
    <w:p w14:paraId="4DE432BC" w14:textId="17EB50D2" w:rsidR="00BB6382" w:rsidRDefault="00BB6382" w:rsidP="006861AE">
      <w:pPr>
        <w:rPr>
          <w:rFonts w:cs="Arial"/>
          <w:bCs/>
          <w:sz w:val="16"/>
          <w:szCs w:val="16"/>
        </w:rPr>
      </w:pPr>
    </w:p>
    <w:p w14:paraId="36D7DDFE" w14:textId="546F8F79" w:rsidR="00BB6382" w:rsidRDefault="00BB6382" w:rsidP="00BB6382">
      <w:pPr>
        <w:jc w:val="center"/>
        <w:rPr>
          <w:rFonts w:cs="Arial"/>
          <w:bCs/>
          <w:sz w:val="16"/>
          <w:szCs w:val="16"/>
        </w:rPr>
      </w:pPr>
      <w:r>
        <w:rPr>
          <w:noProof/>
          <w:lang w:val="es-CO" w:eastAsia="es-CO"/>
        </w:rPr>
        <w:drawing>
          <wp:inline distT="0" distB="0" distL="0" distR="0" wp14:anchorId="1A2A8AE5" wp14:editId="48CBD73F">
            <wp:extent cx="3437890" cy="1600200"/>
            <wp:effectExtent l="0" t="0" r="1016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DCCA79" w14:textId="52B9A410" w:rsidR="003D129F" w:rsidRPr="003D129F" w:rsidRDefault="003D129F" w:rsidP="003D129F">
      <w:pPr>
        <w:jc w:val="center"/>
        <w:rPr>
          <w:rFonts w:cs="Arial"/>
          <w:sz w:val="16"/>
          <w:szCs w:val="16"/>
        </w:rPr>
      </w:pPr>
      <w:r>
        <w:rPr>
          <w:rFonts w:cs="Arial"/>
          <w:bCs/>
          <w:sz w:val="16"/>
          <w:szCs w:val="16"/>
        </w:rPr>
        <w:t>Gráfica No. 5</w:t>
      </w:r>
      <w:r w:rsidRPr="003D129F">
        <w:rPr>
          <w:rFonts w:cs="Arial"/>
          <w:bCs/>
          <w:sz w:val="16"/>
          <w:szCs w:val="16"/>
        </w:rPr>
        <w:t xml:space="preserve"> – Fuente: Papeles de trabajo OCI</w:t>
      </w:r>
    </w:p>
    <w:p w14:paraId="6180CA65" w14:textId="45E90768" w:rsidR="00A90021" w:rsidRPr="00EE7CE1" w:rsidRDefault="00EB5846" w:rsidP="004A72FB">
      <w:pPr>
        <w:pStyle w:val="Ttulo1"/>
        <w:numPr>
          <w:ilvl w:val="0"/>
          <w:numId w:val="2"/>
        </w:numPr>
        <w:tabs>
          <w:tab w:val="left" w:pos="284"/>
        </w:tabs>
        <w:spacing w:before="100" w:beforeAutospacing="1" w:after="100" w:afterAutospacing="1" w:line="276" w:lineRule="auto"/>
        <w:ind w:left="709"/>
        <w:contextualSpacing/>
        <w:textAlignment w:val="auto"/>
        <w:rPr>
          <w:rFonts w:cs="Arial"/>
          <w:szCs w:val="22"/>
        </w:rPr>
      </w:pPr>
      <w:bookmarkStart w:id="9" w:name="_Toc70927273"/>
      <w:r w:rsidRPr="00EE7CE1">
        <w:rPr>
          <w:rFonts w:cs="Arial"/>
          <w:szCs w:val="22"/>
        </w:rPr>
        <w:t>CONCLUSIONES</w:t>
      </w:r>
      <w:bookmarkEnd w:id="9"/>
      <w:r w:rsidR="00A90021" w:rsidRPr="00EE7CE1">
        <w:rPr>
          <w:rFonts w:cs="Arial"/>
          <w:szCs w:val="22"/>
        </w:rPr>
        <w:t xml:space="preserve"> </w:t>
      </w:r>
    </w:p>
    <w:p w14:paraId="5AB3225C" w14:textId="1E1C2CEB" w:rsidR="00EB5846" w:rsidRPr="00EE7CE1" w:rsidRDefault="00EB5846" w:rsidP="004A72FB">
      <w:pPr>
        <w:suppressAutoHyphens w:val="0"/>
        <w:autoSpaceDE w:val="0"/>
        <w:adjustRightInd w:val="0"/>
        <w:spacing w:before="100" w:beforeAutospacing="1" w:after="100" w:afterAutospacing="1" w:line="276" w:lineRule="auto"/>
        <w:contextualSpacing/>
        <w:textAlignment w:val="auto"/>
        <w:rPr>
          <w:rFonts w:eastAsiaTheme="minorHAnsi" w:cs="Arial"/>
          <w:szCs w:val="22"/>
          <w:lang w:val="es-CO" w:eastAsia="en-US"/>
        </w:rPr>
      </w:pPr>
      <w:bookmarkStart w:id="10" w:name="_Toc33428545"/>
      <w:r w:rsidRPr="00EE7CE1">
        <w:rPr>
          <w:rFonts w:eastAsiaTheme="minorHAnsi" w:cs="Arial"/>
          <w:szCs w:val="22"/>
          <w:lang w:val="es-CO" w:eastAsia="en-US"/>
        </w:rPr>
        <w:t>Teniendo en cuenta que el PSC es una herramienta concebida para viabilizar y asegurar la síntesis y consolidación de los hechos financieros, económicos, sociales y ambientales que son susceptibles de alimentar el proceso contable a partir de la definición de responsabilidades a cargo de las dependencias del IDRD como generadoras de dichos hechos, así como de los insumos concretos que éstas deben proveer al Área Contable para que sean incorporados al proceso y reflejados en los Estados Financieros de la Entidad</w:t>
      </w:r>
      <w:r w:rsidR="00EE7CE1" w:rsidRPr="00EE7CE1">
        <w:rPr>
          <w:rFonts w:eastAsiaTheme="minorHAnsi" w:cs="Arial"/>
          <w:szCs w:val="22"/>
          <w:lang w:val="es-CO" w:eastAsia="en-US"/>
        </w:rPr>
        <w:t>,</w:t>
      </w:r>
      <w:r w:rsidRPr="00EE7CE1">
        <w:rPr>
          <w:rFonts w:eastAsiaTheme="minorHAnsi" w:cs="Arial"/>
          <w:szCs w:val="22"/>
          <w:lang w:val="es-CO" w:eastAsia="en-US"/>
        </w:rPr>
        <w:t xml:space="preserve"> a continuación se presentan las conclusiones del seguimiento realizado por la OCI: </w:t>
      </w:r>
    </w:p>
    <w:p w14:paraId="7C214D7F" w14:textId="6CF3D901" w:rsidR="003E3089" w:rsidRDefault="00EE7CE1" w:rsidP="003E3089">
      <w:pPr>
        <w:pStyle w:val="Prrafodelista"/>
        <w:numPr>
          <w:ilvl w:val="0"/>
          <w:numId w:val="7"/>
        </w:numPr>
        <w:suppressAutoHyphens w:val="0"/>
        <w:autoSpaceDE w:val="0"/>
        <w:adjustRightInd w:val="0"/>
        <w:spacing w:before="100" w:beforeAutospacing="1" w:after="100" w:afterAutospacing="1"/>
        <w:textAlignment w:val="auto"/>
        <w:rPr>
          <w:rFonts w:eastAsiaTheme="minorHAnsi" w:cs="Arial"/>
          <w:szCs w:val="22"/>
          <w:lang w:val="es-CO" w:eastAsia="en-US"/>
        </w:rPr>
      </w:pPr>
      <w:r w:rsidRPr="00EE7CE1">
        <w:rPr>
          <w:rFonts w:eastAsiaTheme="minorHAnsi" w:cs="Arial"/>
          <w:szCs w:val="22"/>
          <w:lang w:val="es-CO" w:eastAsia="en-US"/>
        </w:rPr>
        <w:t>En general, el Plan de Sostenibilidad Contable v2 del IDRD presenta un cumplimiento promedio del 92.6%</w:t>
      </w:r>
      <w:r w:rsidR="001855A6">
        <w:rPr>
          <w:rFonts w:eastAsiaTheme="minorHAnsi" w:cs="Arial"/>
          <w:szCs w:val="22"/>
          <w:lang w:val="es-CO" w:eastAsia="en-US"/>
        </w:rPr>
        <w:t>.</w:t>
      </w:r>
    </w:p>
    <w:p w14:paraId="61D8ECBA" w14:textId="77777777" w:rsidR="003E3089" w:rsidRPr="00FD3E88" w:rsidRDefault="003E3089" w:rsidP="003E3089">
      <w:pPr>
        <w:pStyle w:val="Prrafodelista"/>
        <w:suppressAutoHyphens w:val="0"/>
        <w:autoSpaceDE w:val="0"/>
        <w:adjustRightInd w:val="0"/>
        <w:spacing w:before="100" w:beforeAutospacing="1" w:after="100" w:afterAutospacing="1"/>
        <w:textAlignment w:val="auto"/>
        <w:rPr>
          <w:rFonts w:eastAsiaTheme="minorHAnsi" w:cs="Arial"/>
          <w:sz w:val="14"/>
          <w:szCs w:val="14"/>
          <w:lang w:val="es-CO" w:eastAsia="en-US"/>
        </w:rPr>
      </w:pPr>
    </w:p>
    <w:p w14:paraId="39D3DBF4" w14:textId="09A8546C" w:rsidR="003E3089" w:rsidRPr="003E3089" w:rsidRDefault="00EB5846" w:rsidP="003E3089">
      <w:pPr>
        <w:pStyle w:val="Prrafodelista"/>
        <w:numPr>
          <w:ilvl w:val="0"/>
          <w:numId w:val="7"/>
        </w:numPr>
        <w:suppressAutoHyphens w:val="0"/>
        <w:autoSpaceDE w:val="0"/>
        <w:adjustRightInd w:val="0"/>
        <w:spacing w:before="100" w:beforeAutospacing="1" w:after="100" w:afterAutospacing="1"/>
        <w:textAlignment w:val="auto"/>
        <w:rPr>
          <w:rFonts w:eastAsiaTheme="minorHAnsi" w:cs="Arial"/>
          <w:szCs w:val="22"/>
          <w:lang w:val="es-CO" w:eastAsia="en-US"/>
        </w:rPr>
      </w:pPr>
      <w:r w:rsidRPr="003E3089">
        <w:rPr>
          <w:szCs w:val="22"/>
        </w:rPr>
        <w:t xml:space="preserve">Se observa </w:t>
      </w:r>
      <w:r w:rsidR="001855A6" w:rsidRPr="003E3089">
        <w:rPr>
          <w:szCs w:val="22"/>
        </w:rPr>
        <w:t>el interés de la mayoría de las dependencias del IDRD en dar cumplimiento a las actividades definidas en el PSC, toda vez que en sus comunicaciones con Contabilidad hacen alusión a la ejecución de las mismas.</w:t>
      </w:r>
    </w:p>
    <w:p w14:paraId="066D3A04" w14:textId="77777777" w:rsidR="003E3089" w:rsidRPr="00FD3E88" w:rsidRDefault="003E3089" w:rsidP="003E3089">
      <w:pPr>
        <w:pStyle w:val="Prrafodelista"/>
        <w:rPr>
          <w:rFonts w:eastAsiaTheme="minorHAnsi" w:cs="Arial"/>
          <w:sz w:val="16"/>
          <w:szCs w:val="16"/>
          <w:lang w:val="es-CO" w:eastAsia="en-US"/>
        </w:rPr>
      </w:pPr>
    </w:p>
    <w:p w14:paraId="57FD0013" w14:textId="77777777" w:rsidR="003E3089" w:rsidRPr="003E3089" w:rsidRDefault="00120BF9" w:rsidP="003E3089">
      <w:pPr>
        <w:pStyle w:val="Prrafodelista"/>
        <w:numPr>
          <w:ilvl w:val="0"/>
          <w:numId w:val="7"/>
        </w:numPr>
        <w:suppressAutoHyphens w:val="0"/>
        <w:autoSpaceDE w:val="0"/>
        <w:adjustRightInd w:val="0"/>
        <w:spacing w:before="100" w:beforeAutospacing="1" w:after="100" w:afterAutospacing="1"/>
        <w:textAlignment w:val="auto"/>
        <w:rPr>
          <w:rFonts w:eastAsiaTheme="minorHAnsi" w:cs="Arial"/>
          <w:szCs w:val="22"/>
          <w:lang w:val="es-CO" w:eastAsia="en-US"/>
        </w:rPr>
      </w:pPr>
      <w:r w:rsidRPr="003E3089">
        <w:rPr>
          <w:rFonts w:eastAsiaTheme="minorHAnsi" w:cs="Arial"/>
          <w:szCs w:val="22"/>
          <w:lang w:val="es-CO" w:eastAsia="en-US"/>
        </w:rPr>
        <w:t>No</w:t>
      </w:r>
      <w:r w:rsidRPr="003E3089">
        <w:rPr>
          <w:szCs w:val="22"/>
        </w:rPr>
        <w:t xml:space="preserve"> </w:t>
      </w:r>
      <w:proofErr w:type="gramStart"/>
      <w:r w:rsidRPr="003E3089">
        <w:rPr>
          <w:szCs w:val="22"/>
        </w:rPr>
        <w:t>obstante</w:t>
      </w:r>
      <w:proofErr w:type="gramEnd"/>
      <w:r w:rsidRPr="003E3089">
        <w:rPr>
          <w:szCs w:val="22"/>
        </w:rPr>
        <w:t xml:space="preserve"> lo </w:t>
      </w:r>
      <w:r w:rsidR="00C86906" w:rsidRPr="003E3089">
        <w:rPr>
          <w:szCs w:val="22"/>
        </w:rPr>
        <w:t>mencionado en el párrafo anterior</w:t>
      </w:r>
      <w:r w:rsidRPr="003E3089">
        <w:rPr>
          <w:szCs w:val="22"/>
        </w:rPr>
        <w:t>, la Subdirección Técnica de Recreación y Deporte no atendió las solicitudes de información (necesarias para el seguimiento</w:t>
      </w:r>
      <w:r w:rsidR="00C86906" w:rsidRPr="003E3089">
        <w:rPr>
          <w:szCs w:val="22"/>
        </w:rPr>
        <w:t xml:space="preserve"> a la ejecución del PSC</w:t>
      </w:r>
      <w:r w:rsidRPr="003E3089">
        <w:rPr>
          <w:szCs w:val="22"/>
        </w:rPr>
        <w:t>)</w:t>
      </w:r>
      <w:r w:rsidR="00C86906" w:rsidRPr="003E3089">
        <w:rPr>
          <w:szCs w:val="22"/>
        </w:rPr>
        <w:t xml:space="preserve"> presentadas por la Oficina de Control Interno mediante comunicación 20211500110583 del 17-mar-2021 ni a la reiteración de solicitud No. 20211500145353 del 16-abr-2021.</w:t>
      </w:r>
    </w:p>
    <w:p w14:paraId="2DE66339" w14:textId="1FF8CFF7" w:rsidR="001855A6" w:rsidRPr="003E3089" w:rsidRDefault="001855A6" w:rsidP="003E3089">
      <w:pPr>
        <w:pStyle w:val="Prrafodelista"/>
        <w:numPr>
          <w:ilvl w:val="0"/>
          <w:numId w:val="7"/>
        </w:numPr>
        <w:suppressAutoHyphens w:val="0"/>
        <w:autoSpaceDE w:val="0"/>
        <w:adjustRightInd w:val="0"/>
        <w:spacing w:before="100" w:beforeAutospacing="1" w:after="100" w:afterAutospacing="1"/>
        <w:textAlignment w:val="auto"/>
        <w:rPr>
          <w:rFonts w:eastAsiaTheme="minorHAnsi" w:cs="Arial"/>
          <w:szCs w:val="22"/>
          <w:lang w:val="es-CO" w:eastAsia="en-US"/>
        </w:rPr>
      </w:pPr>
      <w:r w:rsidRPr="003E3089">
        <w:rPr>
          <w:szCs w:val="22"/>
        </w:rPr>
        <w:lastRenderedPageBreak/>
        <w:t xml:space="preserve">Se </w:t>
      </w:r>
      <w:r w:rsidR="00120BF9" w:rsidRPr="003E3089">
        <w:rPr>
          <w:szCs w:val="22"/>
        </w:rPr>
        <w:t>evidencia</w:t>
      </w:r>
      <w:r w:rsidRPr="003E3089">
        <w:rPr>
          <w:szCs w:val="22"/>
        </w:rPr>
        <w:t xml:space="preserve"> que el flujo de información </w:t>
      </w:r>
      <w:r w:rsidR="00120BF9" w:rsidRPr="003E3089">
        <w:rPr>
          <w:szCs w:val="22"/>
        </w:rPr>
        <w:t>surte el</w:t>
      </w:r>
      <w:r w:rsidRPr="003E3089">
        <w:rPr>
          <w:szCs w:val="22"/>
        </w:rPr>
        <w:t xml:space="preserve"> efecto </w:t>
      </w:r>
      <w:r w:rsidR="00120BF9" w:rsidRPr="003E3089">
        <w:rPr>
          <w:szCs w:val="22"/>
        </w:rPr>
        <w:t xml:space="preserve">esperado </w:t>
      </w:r>
      <w:r w:rsidRPr="003E3089">
        <w:rPr>
          <w:szCs w:val="22"/>
        </w:rPr>
        <w:t>en la presentación de las revelacione</w:t>
      </w:r>
      <w:r w:rsidR="00120BF9" w:rsidRPr="003E3089">
        <w:rPr>
          <w:szCs w:val="22"/>
        </w:rPr>
        <w:t>s</w:t>
      </w:r>
      <w:r w:rsidRPr="003E3089">
        <w:rPr>
          <w:szCs w:val="22"/>
        </w:rPr>
        <w:t xml:space="preserve"> pues, una v</w:t>
      </w:r>
      <w:r w:rsidR="00120BF9" w:rsidRPr="003E3089">
        <w:rPr>
          <w:szCs w:val="22"/>
        </w:rPr>
        <w:t>e</w:t>
      </w:r>
      <w:r w:rsidRPr="003E3089">
        <w:rPr>
          <w:szCs w:val="22"/>
        </w:rPr>
        <w:t xml:space="preserve">z revisadas éstas, se </w:t>
      </w:r>
      <w:r w:rsidR="00120BF9" w:rsidRPr="003E3089">
        <w:rPr>
          <w:szCs w:val="22"/>
        </w:rPr>
        <w:t>reconoce</w:t>
      </w:r>
      <w:r w:rsidRPr="003E3089">
        <w:rPr>
          <w:szCs w:val="22"/>
        </w:rPr>
        <w:t xml:space="preserve"> la inclusión y coincidencia de dicha información en las Notas a los Estados Financieros</w:t>
      </w:r>
      <w:r w:rsidR="00120BF9" w:rsidRPr="003E3089">
        <w:rPr>
          <w:szCs w:val="22"/>
        </w:rPr>
        <w:t xml:space="preserve"> de la vigencia 2020.</w:t>
      </w:r>
    </w:p>
    <w:p w14:paraId="673D4FBC" w14:textId="151C4405" w:rsidR="00EB5846" w:rsidRPr="00A55D37" w:rsidRDefault="00EB5846" w:rsidP="00A55D37">
      <w:pPr>
        <w:pStyle w:val="Ttulo1"/>
        <w:numPr>
          <w:ilvl w:val="0"/>
          <w:numId w:val="2"/>
        </w:numPr>
        <w:tabs>
          <w:tab w:val="left" w:pos="284"/>
        </w:tabs>
        <w:spacing w:before="100" w:beforeAutospacing="1" w:after="100" w:afterAutospacing="1" w:line="276" w:lineRule="auto"/>
        <w:ind w:left="709"/>
        <w:contextualSpacing/>
        <w:textAlignment w:val="auto"/>
        <w:rPr>
          <w:rFonts w:cs="Arial"/>
          <w:szCs w:val="22"/>
        </w:rPr>
      </w:pPr>
      <w:bookmarkStart w:id="11" w:name="_Toc70927274"/>
      <w:r w:rsidRPr="003E3089">
        <w:rPr>
          <w:rFonts w:cs="Arial"/>
          <w:szCs w:val="22"/>
        </w:rPr>
        <w:t>RECOMENDACIONES</w:t>
      </w:r>
      <w:bookmarkEnd w:id="11"/>
    </w:p>
    <w:p w14:paraId="4F88FE0E" w14:textId="79576453" w:rsidR="00DA494E" w:rsidRPr="003E3089" w:rsidRDefault="00DA494E" w:rsidP="00DA494E">
      <w:pPr>
        <w:pStyle w:val="Prrafodelista"/>
        <w:numPr>
          <w:ilvl w:val="0"/>
          <w:numId w:val="15"/>
        </w:numPr>
        <w:rPr>
          <w:rFonts w:cs="Arial"/>
          <w:szCs w:val="22"/>
          <w:shd w:val="clear" w:color="auto" w:fill="FFFFFF"/>
        </w:rPr>
      </w:pPr>
      <w:r w:rsidRPr="003E3089">
        <w:rPr>
          <w:rFonts w:cs="Arial"/>
          <w:szCs w:val="22"/>
          <w:shd w:val="clear" w:color="auto" w:fill="FFFFFF"/>
        </w:rPr>
        <w:t xml:space="preserve">Ajustar el Plan de sostenibilidad Contable, toda vez que una actividad del ‘Tema 5 - Préstamos  por cobrar’ indica que </w:t>
      </w:r>
      <w:r w:rsidRPr="003E3089">
        <w:rPr>
          <w:rFonts w:cs="Arial"/>
          <w:i/>
          <w:iCs/>
          <w:szCs w:val="22"/>
          <w:shd w:val="clear" w:color="auto" w:fill="FFFFFF"/>
        </w:rPr>
        <w:t>“El área de Tesorería remite a Contabilidad al cierre de la vigencia, un informe que contenga el valor en libros y  las condiciones de los préstamos por cobrar, tales como: plazo, tasa de interés y vencimiento”</w:t>
      </w:r>
      <w:r w:rsidRPr="003E3089">
        <w:rPr>
          <w:rFonts w:cs="Arial"/>
          <w:szCs w:val="22"/>
          <w:shd w:val="clear" w:color="auto" w:fill="FFFFFF"/>
        </w:rPr>
        <w:t xml:space="preserve">; sin embargo, el área de Contabilidad manifiesta que </w:t>
      </w:r>
      <w:r w:rsidRPr="003E3089">
        <w:rPr>
          <w:rFonts w:cs="Arial"/>
          <w:i/>
          <w:iCs/>
          <w:szCs w:val="22"/>
          <w:shd w:val="clear" w:color="auto" w:fill="FFFFFF"/>
        </w:rPr>
        <w:t xml:space="preserve">“El área de Tesorería con relación a los préstamos por cobrar  de los funcionarios no participa en esta actividad en razón a que la misma se efectúa con el área de nóminas por ser un descuento que se </w:t>
      </w:r>
      <w:r w:rsidRPr="003E3089">
        <w:rPr>
          <w:rFonts w:cs="Arial"/>
          <w:szCs w:val="22"/>
          <w:shd w:val="clear" w:color="auto" w:fill="FFFFFF"/>
        </w:rPr>
        <w:t>[realiza]</w:t>
      </w:r>
      <w:r w:rsidRPr="003E3089">
        <w:rPr>
          <w:rFonts w:cs="Arial"/>
          <w:i/>
          <w:iCs/>
          <w:szCs w:val="22"/>
          <w:shd w:val="clear" w:color="auto" w:fill="FFFFFF"/>
        </w:rPr>
        <w:t xml:space="preserve"> directamente (sic) al empleado, donde el software está parametrizado la tasa y el plazo hasta su vencimiento”</w:t>
      </w:r>
      <w:r w:rsidRPr="003E3089">
        <w:rPr>
          <w:rFonts w:cs="Arial"/>
          <w:szCs w:val="22"/>
          <w:shd w:val="clear" w:color="auto" w:fill="FFFFFF"/>
        </w:rPr>
        <w:t>.</w:t>
      </w:r>
    </w:p>
    <w:p w14:paraId="0DFD9BF1" w14:textId="5587345A" w:rsidR="00DA494E" w:rsidRPr="00BB6382" w:rsidRDefault="00DA494E" w:rsidP="00EE7CE1">
      <w:pPr>
        <w:pStyle w:val="Prrafodelista"/>
        <w:rPr>
          <w:rFonts w:cs="Arial"/>
          <w:szCs w:val="22"/>
          <w:shd w:val="clear" w:color="auto" w:fill="FFFFFF"/>
        </w:rPr>
      </w:pPr>
    </w:p>
    <w:p w14:paraId="30EF5E4A" w14:textId="1C44287E" w:rsidR="00C86906" w:rsidRPr="00BB6382" w:rsidRDefault="00C86906" w:rsidP="00A55D37">
      <w:pPr>
        <w:pStyle w:val="Prrafodelista"/>
        <w:numPr>
          <w:ilvl w:val="0"/>
          <w:numId w:val="15"/>
        </w:numPr>
        <w:rPr>
          <w:rFonts w:cs="Arial"/>
          <w:szCs w:val="22"/>
          <w:lang w:val="es-CO"/>
        </w:rPr>
      </w:pPr>
      <w:r w:rsidRPr="00BB6382">
        <w:rPr>
          <w:rFonts w:cs="Arial"/>
          <w:szCs w:val="22"/>
          <w:lang w:val="es-CO"/>
        </w:rPr>
        <w:t xml:space="preserve">Asegurar que todas las dependencias atiendan los requerimientos de información necesarios para el seguimiento a la ejecución del PSC, con el objeto de facilitar la consolidación de </w:t>
      </w:r>
      <w:r w:rsidRPr="00BB6382">
        <w:rPr>
          <w:rFonts w:eastAsiaTheme="minorHAnsi" w:cs="Arial"/>
          <w:szCs w:val="22"/>
          <w:lang w:val="es-CO" w:eastAsia="en-US"/>
        </w:rPr>
        <w:t xml:space="preserve">los hechos financieros, económicos, sociales y ambientales que son susceptibles de alimentar el proceso contable, brindando confiabilidad en </w:t>
      </w:r>
      <w:r w:rsidR="008F73EB" w:rsidRPr="00BB6382">
        <w:rPr>
          <w:rFonts w:eastAsiaTheme="minorHAnsi" w:cs="Arial"/>
          <w:szCs w:val="22"/>
          <w:lang w:val="es-CO" w:eastAsia="en-US"/>
        </w:rPr>
        <w:t>la información financiera.</w:t>
      </w:r>
    </w:p>
    <w:p w14:paraId="6A00FDFE" w14:textId="77777777" w:rsidR="00C86906" w:rsidRPr="00BB6382" w:rsidRDefault="00C86906" w:rsidP="00A55D37">
      <w:pPr>
        <w:pStyle w:val="Prrafodelista"/>
        <w:rPr>
          <w:rFonts w:cs="Arial"/>
          <w:szCs w:val="22"/>
          <w:lang w:val="es-CO"/>
        </w:rPr>
      </w:pPr>
    </w:p>
    <w:p w14:paraId="596134B5" w14:textId="1A397D26" w:rsidR="00A5322E" w:rsidRDefault="006E6BD1" w:rsidP="00A55D37">
      <w:pPr>
        <w:pStyle w:val="Prrafodelista"/>
        <w:numPr>
          <w:ilvl w:val="0"/>
          <w:numId w:val="15"/>
        </w:numPr>
        <w:shd w:val="clear" w:color="auto" w:fill="FFFFFF"/>
        <w:suppressAutoHyphens w:val="0"/>
        <w:autoSpaceDN/>
        <w:textAlignment w:val="auto"/>
        <w:rPr>
          <w:rFonts w:cs="Arial"/>
          <w:szCs w:val="22"/>
          <w:lang w:val="es-CO"/>
        </w:rPr>
      </w:pPr>
      <w:r w:rsidRPr="00BB6382">
        <w:rPr>
          <w:rFonts w:cs="Arial"/>
          <w:szCs w:val="22"/>
          <w:lang w:val="es-CO"/>
        </w:rPr>
        <w:t>Se recomienda a las dependencias dar continuidad al interés en el suministro oportuno, completo y de calidad, de la información sobre los hechos que deben reflejarse en los Estados Financieros de la Entidad; así como la documentación de evidencias verificables que permitan la trazabilidad en la ejecución del Plan de Sostenibilidad Contable</w:t>
      </w:r>
      <w:r w:rsidR="00AA2FB4" w:rsidRPr="00BB6382">
        <w:rPr>
          <w:rFonts w:cs="Arial"/>
          <w:szCs w:val="22"/>
          <w:lang w:val="es-CO"/>
        </w:rPr>
        <w:t>.</w:t>
      </w:r>
    </w:p>
    <w:p w14:paraId="1A47F87C" w14:textId="77777777" w:rsidR="00FD3E88" w:rsidRPr="00FD3E88" w:rsidRDefault="00FD3E88" w:rsidP="00FD3E88">
      <w:pPr>
        <w:pStyle w:val="Prrafodelista"/>
        <w:rPr>
          <w:rFonts w:cs="Arial"/>
          <w:szCs w:val="22"/>
          <w:lang w:val="es-CO"/>
        </w:rPr>
      </w:pPr>
    </w:p>
    <w:p w14:paraId="7DBE5EAA" w14:textId="612D2721" w:rsidR="00FD3E88" w:rsidRPr="00262771" w:rsidRDefault="00FD3E88" w:rsidP="00FD3E88">
      <w:pPr>
        <w:pStyle w:val="Prrafodelista"/>
        <w:numPr>
          <w:ilvl w:val="0"/>
          <w:numId w:val="15"/>
        </w:numPr>
        <w:shd w:val="clear" w:color="auto" w:fill="FFFFFF"/>
        <w:suppressAutoHyphens w:val="0"/>
        <w:autoSpaceDN/>
        <w:textAlignment w:val="auto"/>
        <w:rPr>
          <w:rFonts w:cs="Arial"/>
          <w:szCs w:val="22"/>
          <w:lang w:val="es-CO"/>
        </w:rPr>
      </w:pPr>
      <w:r w:rsidRPr="00262771">
        <w:rPr>
          <w:rFonts w:cs="Arial"/>
          <w:szCs w:val="22"/>
          <w:lang w:val="es-CO"/>
        </w:rPr>
        <w:t>Adelantar con la OAJ las gestiones necesarias para presentar los informes de antigüedad de Cuentas por cobrar y de Préstamos por cobrar; es pertinente revisar conjuntamente con SAF si esta información está siendo obtenida mediante algún otro mecanismo y, en este sentido, ajustar el Plan de Sostenibilidad Contable.</w:t>
      </w:r>
    </w:p>
    <w:p w14:paraId="2A82D04E" w14:textId="77777777" w:rsidR="00FD3E88" w:rsidRPr="00BB6382" w:rsidRDefault="00FD3E88" w:rsidP="00FD3E88">
      <w:pPr>
        <w:pStyle w:val="Prrafodelista"/>
        <w:shd w:val="clear" w:color="auto" w:fill="FFFFFF"/>
        <w:suppressAutoHyphens w:val="0"/>
        <w:autoSpaceDN/>
        <w:textAlignment w:val="auto"/>
        <w:rPr>
          <w:rFonts w:cs="Arial"/>
          <w:szCs w:val="22"/>
          <w:lang w:val="es-CO"/>
        </w:rPr>
      </w:pPr>
    </w:p>
    <w:bookmarkEnd w:id="10"/>
    <w:p w14:paraId="255FF3AE" w14:textId="77777777" w:rsidR="00A90021" w:rsidRPr="00EB5846" w:rsidRDefault="00A90021" w:rsidP="004A72FB">
      <w:pPr>
        <w:spacing w:before="100" w:beforeAutospacing="1" w:after="100" w:afterAutospacing="1" w:line="276" w:lineRule="auto"/>
        <w:contextualSpacing/>
        <w:rPr>
          <w:rFonts w:cs="Arial"/>
          <w:kern w:val="3"/>
          <w:szCs w:val="22"/>
        </w:rPr>
      </w:pPr>
      <w:r w:rsidRPr="00EB5846">
        <w:rPr>
          <w:rFonts w:cs="Arial"/>
          <w:kern w:val="3"/>
          <w:szCs w:val="22"/>
        </w:rPr>
        <w:t>Cordialmente,</w:t>
      </w:r>
    </w:p>
    <w:p w14:paraId="6D1423B7" w14:textId="77777777" w:rsidR="00A90021" w:rsidRPr="00EB5846" w:rsidRDefault="00A90021" w:rsidP="004A72FB">
      <w:pPr>
        <w:spacing w:before="100" w:beforeAutospacing="1" w:after="100" w:afterAutospacing="1" w:line="276" w:lineRule="auto"/>
        <w:contextualSpacing/>
        <w:rPr>
          <w:rFonts w:cs="Arial"/>
          <w:kern w:val="3"/>
          <w:szCs w:val="22"/>
        </w:rPr>
      </w:pPr>
    </w:p>
    <w:p w14:paraId="7A84E804" w14:textId="604EFFD6" w:rsidR="00A90021" w:rsidRDefault="00A90021" w:rsidP="004A72FB">
      <w:pPr>
        <w:spacing w:before="100" w:beforeAutospacing="1" w:after="100" w:afterAutospacing="1" w:line="276" w:lineRule="auto"/>
        <w:contextualSpacing/>
        <w:rPr>
          <w:rFonts w:cs="Arial"/>
          <w:kern w:val="3"/>
          <w:szCs w:val="22"/>
        </w:rPr>
      </w:pPr>
    </w:p>
    <w:p w14:paraId="51B99C4B" w14:textId="2E6F9896" w:rsidR="00A55D37" w:rsidRDefault="00A55D37" w:rsidP="004A72FB">
      <w:pPr>
        <w:spacing w:before="100" w:beforeAutospacing="1" w:after="100" w:afterAutospacing="1" w:line="276" w:lineRule="auto"/>
        <w:contextualSpacing/>
        <w:rPr>
          <w:rFonts w:cs="Arial"/>
          <w:kern w:val="3"/>
          <w:szCs w:val="22"/>
        </w:rPr>
      </w:pPr>
    </w:p>
    <w:p w14:paraId="0A3D8FB5" w14:textId="77777777" w:rsidR="00A55D37" w:rsidRPr="00EB5846" w:rsidRDefault="00A55D37" w:rsidP="004A72FB">
      <w:pPr>
        <w:spacing w:before="100" w:beforeAutospacing="1" w:after="100" w:afterAutospacing="1" w:line="276" w:lineRule="auto"/>
        <w:contextualSpacing/>
        <w:rPr>
          <w:rFonts w:cs="Arial"/>
          <w:kern w:val="3"/>
          <w:szCs w:val="22"/>
        </w:rPr>
      </w:pPr>
    </w:p>
    <w:p w14:paraId="38AB0497" w14:textId="55BACE30" w:rsidR="00A90021" w:rsidRPr="00EB5846" w:rsidRDefault="00A90021" w:rsidP="004A72FB">
      <w:pPr>
        <w:spacing w:before="100" w:beforeAutospacing="1" w:after="100" w:afterAutospacing="1" w:line="276" w:lineRule="auto"/>
        <w:contextualSpacing/>
        <w:rPr>
          <w:rFonts w:cs="Arial"/>
          <w:b/>
          <w:bCs/>
          <w:kern w:val="3"/>
          <w:szCs w:val="22"/>
        </w:rPr>
      </w:pPr>
      <w:r w:rsidRPr="00EB5846">
        <w:rPr>
          <w:rFonts w:cs="Arial"/>
          <w:b/>
          <w:bCs/>
          <w:kern w:val="3"/>
          <w:szCs w:val="22"/>
        </w:rPr>
        <w:t xml:space="preserve">ROSALBA GUZMÁN </w:t>
      </w:r>
      <w:proofErr w:type="spellStart"/>
      <w:r w:rsidRPr="00EB5846">
        <w:rPr>
          <w:rFonts w:cs="Arial"/>
          <w:b/>
          <w:bCs/>
          <w:kern w:val="3"/>
          <w:szCs w:val="22"/>
        </w:rPr>
        <w:t>GUZMÁN</w:t>
      </w:r>
      <w:proofErr w:type="spellEnd"/>
    </w:p>
    <w:p w14:paraId="13DBD7EB" w14:textId="77777777" w:rsidR="00A90021" w:rsidRPr="00EB5846" w:rsidRDefault="00A90021" w:rsidP="004A72FB">
      <w:pPr>
        <w:spacing w:before="100" w:beforeAutospacing="1" w:after="100" w:afterAutospacing="1" w:line="276" w:lineRule="auto"/>
        <w:contextualSpacing/>
        <w:rPr>
          <w:rFonts w:cs="Arial"/>
          <w:kern w:val="3"/>
          <w:szCs w:val="22"/>
        </w:rPr>
      </w:pPr>
      <w:r w:rsidRPr="00EB5846">
        <w:rPr>
          <w:rFonts w:cs="Arial"/>
          <w:kern w:val="3"/>
          <w:szCs w:val="22"/>
        </w:rPr>
        <w:t>Jefe Oficina de Control Interno</w:t>
      </w:r>
    </w:p>
    <w:p w14:paraId="73F71BA6" w14:textId="77777777" w:rsidR="00A90021" w:rsidRPr="00EB5846" w:rsidRDefault="00A90021" w:rsidP="004A72FB">
      <w:pPr>
        <w:spacing w:before="100" w:beforeAutospacing="1" w:after="100" w:afterAutospacing="1" w:line="276" w:lineRule="auto"/>
        <w:contextualSpacing/>
        <w:rPr>
          <w:rFonts w:eastAsia="Arial" w:cs="Arial"/>
          <w:szCs w:val="22"/>
        </w:rPr>
      </w:pPr>
    </w:p>
    <w:p w14:paraId="7C1FAA62" w14:textId="781E7B4D" w:rsidR="00A5322E" w:rsidRPr="00FD3E88" w:rsidRDefault="00A5322E" w:rsidP="00FD3E88">
      <w:pPr>
        <w:spacing w:before="100" w:beforeAutospacing="1" w:after="100" w:afterAutospacing="1" w:line="276" w:lineRule="auto"/>
        <w:contextualSpacing/>
        <w:rPr>
          <w:rFonts w:cs="Arial"/>
          <w:sz w:val="16"/>
          <w:szCs w:val="16"/>
        </w:rPr>
      </w:pPr>
      <w:r w:rsidRPr="00FD3E88">
        <w:rPr>
          <w:rFonts w:eastAsia="Arial" w:cs="Arial"/>
          <w:sz w:val="16"/>
          <w:szCs w:val="16"/>
        </w:rPr>
        <w:t>Proyectó</w:t>
      </w:r>
      <w:r w:rsidR="00A90021" w:rsidRPr="00FD3E88">
        <w:rPr>
          <w:rFonts w:eastAsia="Arial" w:cs="Arial"/>
          <w:sz w:val="16"/>
          <w:szCs w:val="16"/>
        </w:rPr>
        <w:t>:</w:t>
      </w:r>
      <w:r w:rsidRPr="00FD3E88">
        <w:rPr>
          <w:rFonts w:eastAsia="Arial" w:cs="Arial"/>
          <w:sz w:val="16"/>
          <w:szCs w:val="16"/>
        </w:rPr>
        <w:t xml:space="preserve"> Camilo A. Garzón Tauta – Contratista OCI CPS-</w:t>
      </w:r>
      <w:r w:rsidR="00FD3E88">
        <w:rPr>
          <w:rFonts w:eastAsia="Arial" w:cs="Arial"/>
          <w:sz w:val="16"/>
          <w:szCs w:val="16"/>
        </w:rPr>
        <w:t>1247</w:t>
      </w:r>
      <w:r w:rsidRPr="00FD3E88">
        <w:rPr>
          <w:rFonts w:eastAsia="Arial" w:cs="Arial"/>
          <w:sz w:val="16"/>
          <w:szCs w:val="16"/>
        </w:rPr>
        <w:t>_2020</w:t>
      </w:r>
    </w:p>
    <w:p w14:paraId="684C4853" w14:textId="06BF4350" w:rsidR="004B6AEB" w:rsidRPr="00FD3E88" w:rsidRDefault="00FD3E88" w:rsidP="00A5322E">
      <w:pPr>
        <w:spacing w:before="100" w:beforeAutospacing="1" w:after="100" w:afterAutospacing="1" w:line="276" w:lineRule="auto"/>
        <w:ind w:left="708"/>
        <w:contextualSpacing/>
        <w:rPr>
          <w:rFonts w:eastAsia="Arial" w:cs="Arial"/>
          <w:sz w:val="16"/>
          <w:szCs w:val="16"/>
        </w:rPr>
      </w:pPr>
      <w:r>
        <w:rPr>
          <w:rFonts w:eastAsia="Arial" w:cs="Arial"/>
          <w:sz w:val="16"/>
          <w:szCs w:val="16"/>
        </w:rPr>
        <w:t xml:space="preserve"> </w:t>
      </w:r>
      <w:r w:rsidR="004B6AEB" w:rsidRPr="00FD3E88">
        <w:rPr>
          <w:rFonts w:eastAsia="Arial" w:cs="Arial"/>
          <w:sz w:val="16"/>
          <w:szCs w:val="16"/>
        </w:rPr>
        <w:t>Deyanira Díaz Alvarad</w:t>
      </w:r>
      <w:r w:rsidR="00A5322E" w:rsidRPr="00FD3E88">
        <w:rPr>
          <w:rFonts w:eastAsia="Arial" w:cs="Arial"/>
          <w:sz w:val="16"/>
          <w:szCs w:val="16"/>
        </w:rPr>
        <w:t>o – Profesional Universitario 03</w:t>
      </w:r>
      <w:r w:rsidR="004B6AEB" w:rsidRPr="00FD3E88">
        <w:rPr>
          <w:rFonts w:eastAsia="Arial" w:cs="Arial"/>
          <w:sz w:val="16"/>
          <w:szCs w:val="16"/>
        </w:rPr>
        <w:t>-OCI</w:t>
      </w:r>
    </w:p>
    <w:p w14:paraId="03156B4A" w14:textId="232AD58C" w:rsidR="000B0F0A" w:rsidRPr="00FD3E88" w:rsidRDefault="000B0F0A" w:rsidP="000B0F0A">
      <w:pPr>
        <w:spacing w:before="100" w:beforeAutospacing="1" w:after="100" w:afterAutospacing="1" w:line="276" w:lineRule="auto"/>
        <w:contextualSpacing/>
        <w:rPr>
          <w:rFonts w:eastAsia="Arial" w:cs="Arial"/>
          <w:sz w:val="16"/>
          <w:szCs w:val="16"/>
        </w:rPr>
        <w:sectPr w:rsidR="000B0F0A" w:rsidRPr="00FD3E88" w:rsidSect="008D703D">
          <w:headerReference w:type="default" r:id="rId14"/>
          <w:footerReference w:type="default" r:id="rId15"/>
          <w:headerReference w:type="first" r:id="rId16"/>
          <w:footerReference w:type="first" r:id="rId17"/>
          <w:pgSz w:w="12240" w:h="15840" w:code="1"/>
          <w:pgMar w:top="1174" w:right="1701" w:bottom="1701" w:left="1701" w:header="567" w:footer="600" w:gutter="0"/>
          <w:cols w:space="708"/>
          <w:titlePg/>
          <w:docGrid w:linePitch="326"/>
        </w:sectPr>
      </w:pPr>
    </w:p>
    <w:p w14:paraId="168D3D96" w14:textId="6EFA20ED" w:rsidR="00383DED" w:rsidRDefault="00383DED" w:rsidP="007C4117">
      <w:pPr>
        <w:pStyle w:val="Ttulo1"/>
        <w:jc w:val="center"/>
        <w:rPr>
          <w:rFonts w:eastAsia="Arial"/>
        </w:rPr>
      </w:pPr>
      <w:bookmarkStart w:id="12" w:name="_Toc70927275"/>
      <w:r w:rsidRPr="00383DED">
        <w:rPr>
          <w:rFonts w:eastAsia="Arial"/>
        </w:rPr>
        <w:lastRenderedPageBreak/>
        <w:t>ANEXO 1. SEGUIMIENTO AL PLAN DE SOSTENIBILIDAD CONTABLE V.2</w:t>
      </w:r>
      <w:bookmarkEnd w:id="12"/>
    </w:p>
    <w:p w14:paraId="0CCE2906" w14:textId="49C00872" w:rsidR="000B0F0A" w:rsidRDefault="000B0F0A" w:rsidP="00383DED">
      <w:pPr>
        <w:spacing w:before="100" w:beforeAutospacing="1" w:after="100" w:afterAutospacing="1" w:line="276" w:lineRule="auto"/>
        <w:ind w:left="708"/>
        <w:contextualSpacing/>
        <w:jc w:val="center"/>
        <w:rPr>
          <w:rFonts w:eastAsia="Arial" w:cs="Arial"/>
          <w:b/>
          <w:szCs w:val="22"/>
        </w:rPr>
      </w:pPr>
    </w:p>
    <w:tbl>
      <w:tblPr>
        <w:tblW w:w="22675" w:type="dxa"/>
        <w:tblLayout w:type="fixed"/>
        <w:tblCellMar>
          <w:left w:w="70" w:type="dxa"/>
          <w:right w:w="70" w:type="dxa"/>
        </w:tblCellMar>
        <w:tblLook w:val="04A0" w:firstRow="1" w:lastRow="0" w:firstColumn="1" w:lastColumn="0" w:noHBand="0" w:noVBand="1"/>
      </w:tblPr>
      <w:tblGrid>
        <w:gridCol w:w="317"/>
        <w:gridCol w:w="954"/>
        <w:gridCol w:w="3969"/>
        <w:gridCol w:w="3544"/>
        <w:gridCol w:w="1276"/>
        <w:gridCol w:w="1984"/>
        <w:gridCol w:w="1559"/>
        <w:gridCol w:w="993"/>
        <w:gridCol w:w="4110"/>
        <w:gridCol w:w="3969"/>
      </w:tblGrid>
      <w:tr w:rsidR="005B0DCC" w:rsidRPr="000B0F0A" w14:paraId="25780F2A" w14:textId="77777777" w:rsidTr="002B0B25">
        <w:trPr>
          <w:trHeight w:val="288"/>
          <w:tblHeader/>
        </w:trPr>
        <w:tc>
          <w:tcPr>
            <w:tcW w:w="317"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CBB1181" w14:textId="77777777" w:rsidR="000B0F0A" w:rsidRPr="000B0F0A" w:rsidRDefault="000B0F0A" w:rsidP="000B0F0A">
            <w:pPr>
              <w:suppressAutoHyphens w:val="0"/>
              <w:autoSpaceDN/>
              <w:jc w:val="center"/>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w:t>
            </w:r>
          </w:p>
        </w:tc>
        <w:tc>
          <w:tcPr>
            <w:tcW w:w="954"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4F9B4646" w14:textId="77777777" w:rsidR="000B0F0A" w:rsidRPr="000B0F0A" w:rsidRDefault="000B0F0A" w:rsidP="000B0F0A">
            <w:pPr>
              <w:suppressAutoHyphens w:val="0"/>
              <w:autoSpaceDN/>
              <w:jc w:val="center"/>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Tema</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2E3BF0E" w14:textId="77777777" w:rsidR="000B0F0A" w:rsidRPr="000B0F0A" w:rsidRDefault="000B0F0A" w:rsidP="000B0F0A">
            <w:pPr>
              <w:suppressAutoHyphens w:val="0"/>
              <w:autoSpaceDN/>
              <w:jc w:val="center"/>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Actividad del Plan de sostenibilidad Contable</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6252479" w14:textId="77777777" w:rsidR="000B0F0A" w:rsidRPr="000B0F0A" w:rsidRDefault="000B0F0A" w:rsidP="000B0F0A">
            <w:pPr>
              <w:suppressAutoHyphens w:val="0"/>
              <w:autoSpaceDN/>
              <w:jc w:val="center"/>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Política asociada del Manual de Políticas Contables</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9F50C21" w14:textId="77777777" w:rsidR="000B0F0A" w:rsidRPr="000B0F0A" w:rsidRDefault="000B0F0A" w:rsidP="000B0F0A">
            <w:pPr>
              <w:suppressAutoHyphens w:val="0"/>
              <w:autoSpaceDN/>
              <w:jc w:val="center"/>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Áreas Responsables</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68DEFD1E" w14:textId="77777777" w:rsidR="000B0F0A" w:rsidRPr="000B0F0A" w:rsidRDefault="000B0F0A" w:rsidP="000B0F0A">
            <w:pPr>
              <w:suppressAutoHyphens w:val="0"/>
              <w:autoSpaceDN/>
              <w:jc w:val="center"/>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Periodicidad</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4DA14B67" w14:textId="77777777" w:rsidR="000B0F0A" w:rsidRPr="000B0F0A" w:rsidRDefault="000B0F0A" w:rsidP="000B0F0A">
            <w:pPr>
              <w:suppressAutoHyphens w:val="0"/>
              <w:autoSpaceDN/>
              <w:jc w:val="center"/>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Memorando Respuesta al Requerimiento de la OCI</w:t>
            </w:r>
          </w:p>
        </w:tc>
        <w:tc>
          <w:tcPr>
            <w:tcW w:w="9072" w:type="dxa"/>
            <w:gridSpan w:val="3"/>
            <w:tcBorders>
              <w:top w:val="single" w:sz="4" w:space="0" w:color="auto"/>
              <w:left w:val="nil"/>
              <w:bottom w:val="single" w:sz="4" w:space="0" w:color="auto"/>
              <w:right w:val="single" w:sz="4" w:space="0" w:color="auto"/>
            </w:tcBorders>
            <w:shd w:val="clear" w:color="000000" w:fill="D0CECE"/>
            <w:vAlign w:val="center"/>
            <w:hideMark/>
          </w:tcPr>
          <w:p w14:paraId="3FD690A6" w14:textId="77777777" w:rsidR="000B0F0A" w:rsidRPr="000B0F0A" w:rsidRDefault="000B0F0A" w:rsidP="000B0F0A">
            <w:pPr>
              <w:suppressAutoHyphens w:val="0"/>
              <w:autoSpaceDN/>
              <w:jc w:val="center"/>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Cumplimiento de la actividad del Plan de Sostenibilidad</w:t>
            </w:r>
          </w:p>
        </w:tc>
      </w:tr>
      <w:tr w:rsidR="005B0DCC" w:rsidRPr="000B0F0A" w14:paraId="6BA9C1F4" w14:textId="77777777" w:rsidTr="002B0B25">
        <w:trPr>
          <w:trHeight w:val="532"/>
          <w:tblHeader/>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09EA9674" w14:textId="77777777" w:rsidR="000B0F0A" w:rsidRPr="000B0F0A" w:rsidRDefault="000B0F0A" w:rsidP="000B0F0A">
            <w:pPr>
              <w:suppressAutoHyphens w:val="0"/>
              <w:autoSpaceDN/>
              <w:jc w:val="left"/>
              <w:textAlignment w:val="auto"/>
              <w:rPr>
                <w:rFonts w:asciiTheme="minorHAnsi" w:hAnsiTheme="minorHAnsi" w:cstheme="minorHAnsi"/>
                <w:b/>
                <w:bCs/>
                <w:sz w:val="16"/>
                <w:szCs w:val="16"/>
                <w:lang w:val="es-CO" w:eastAsia="es-CO"/>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14:paraId="079A8B9A" w14:textId="77777777" w:rsidR="000B0F0A" w:rsidRPr="000B0F0A" w:rsidRDefault="000B0F0A" w:rsidP="000B0F0A">
            <w:pPr>
              <w:suppressAutoHyphens w:val="0"/>
              <w:autoSpaceDN/>
              <w:jc w:val="left"/>
              <w:textAlignment w:val="auto"/>
              <w:rPr>
                <w:rFonts w:asciiTheme="minorHAnsi" w:hAnsiTheme="minorHAnsi" w:cstheme="minorHAnsi"/>
                <w:b/>
                <w:bCs/>
                <w:sz w:val="16"/>
                <w:szCs w:val="16"/>
                <w:lang w:val="es-CO" w:eastAsia="es-CO"/>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4EEA53E8" w14:textId="77777777" w:rsidR="000B0F0A" w:rsidRPr="000B0F0A" w:rsidRDefault="000B0F0A" w:rsidP="000B0F0A">
            <w:pPr>
              <w:suppressAutoHyphens w:val="0"/>
              <w:autoSpaceDN/>
              <w:jc w:val="left"/>
              <w:textAlignment w:val="auto"/>
              <w:rPr>
                <w:rFonts w:asciiTheme="minorHAnsi" w:hAnsiTheme="minorHAnsi" w:cstheme="minorHAnsi"/>
                <w:b/>
                <w:bCs/>
                <w:sz w:val="16"/>
                <w:szCs w:val="16"/>
                <w:lang w:val="es-CO" w:eastAsia="es-CO"/>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EA1D7A2" w14:textId="77777777" w:rsidR="000B0F0A" w:rsidRPr="000B0F0A" w:rsidRDefault="000B0F0A" w:rsidP="000B0F0A">
            <w:pPr>
              <w:suppressAutoHyphens w:val="0"/>
              <w:autoSpaceDN/>
              <w:jc w:val="left"/>
              <w:textAlignment w:val="auto"/>
              <w:rPr>
                <w:rFonts w:asciiTheme="minorHAnsi" w:hAnsiTheme="minorHAnsi" w:cstheme="minorHAnsi"/>
                <w:b/>
                <w:bCs/>
                <w:sz w:val="16"/>
                <w:szCs w:val="16"/>
                <w:lang w:val="es-CO"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DA07FD" w14:textId="77777777" w:rsidR="000B0F0A" w:rsidRPr="000B0F0A" w:rsidRDefault="000B0F0A" w:rsidP="000B0F0A">
            <w:pPr>
              <w:suppressAutoHyphens w:val="0"/>
              <w:autoSpaceDN/>
              <w:jc w:val="left"/>
              <w:textAlignment w:val="auto"/>
              <w:rPr>
                <w:rFonts w:asciiTheme="minorHAnsi" w:hAnsiTheme="minorHAnsi" w:cstheme="minorHAnsi"/>
                <w:b/>
                <w:bCs/>
                <w:sz w:val="16"/>
                <w:szCs w:val="16"/>
                <w:lang w:val="es-CO" w:eastAsia="es-CO"/>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54716035" w14:textId="77777777" w:rsidR="000B0F0A" w:rsidRPr="000B0F0A" w:rsidRDefault="000B0F0A" w:rsidP="000B0F0A">
            <w:pPr>
              <w:suppressAutoHyphens w:val="0"/>
              <w:autoSpaceDN/>
              <w:jc w:val="left"/>
              <w:textAlignment w:val="auto"/>
              <w:rPr>
                <w:rFonts w:asciiTheme="minorHAnsi" w:hAnsiTheme="minorHAnsi" w:cstheme="minorHAnsi"/>
                <w:b/>
                <w:bCs/>
                <w:sz w:val="16"/>
                <w:szCs w:val="16"/>
                <w:lang w:val="es-CO" w:eastAsia="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C84AF4B" w14:textId="77777777" w:rsidR="000B0F0A" w:rsidRPr="000B0F0A" w:rsidRDefault="000B0F0A" w:rsidP="000B0F0A">
            <w:pPr>
              <w:suppressAutoHyphens w:val="0"/>
              <w:autoSpaceDN/>
              <w:jc w:val="left"/>
              <w:textAlignment w:val="auto"/>
              <w:rPr>
                <w:rFonts w:asciiTheme="minorHAnsi" w:hAnsiTheme="minorHAnsi" w:cstheme="minorHAnsi"/>
                <w:b/>
                <w:bCs/>
                <w:sz w:val="16"/>
                <w:szCs w:val="16"/>
                <w:lang w:val="es-CO" w:eastAsia="es-CO"/>
              </w:rPr>
            </w:pPr>
          </w:p>
        </w:tc>
        <w:tc>
          <w:tcPr>
            <w:tcW w:w="993" w:type="dxa"/>
            <w:tcBorders>
              <w:top w:val="nil"/>
              <w:left w:val="nil"/>
              <w:bottom w:val="single" w:sz="4" w:space="0" w:color="auto"/>
              <w:right w:val="single" w:sz="4" w:space="0" w:color="auto"/>
            </w:tcBorders>
            <w:shd w:val="clear" w:color="000000" w:fill="D0CECE"/>
            <w:vAlign w:val="center"/>
            <w:hideMark/>
          </w:tcPr>
          <w:p w14:paraId="29458226" w14:textId="7DEC42E4" w:rsidR="000B0F0A" w:rsidRPr="000B0F0A" w:rsidRDefault="001E0C54" w:rsidP="000B0F0A">
            <w:pPr>
              <w:suppressAutoHyphens w:val="0"/>
              <w:autoSpaceDN/>
              <w:jc w:val="center"/>
              <w:textAlignment w:val="auto"/>
              <w:rPr>
                <w:rFonts w:asciiTheme="minorHAnsi" w:hAnsiTheme="minorHAnsi" w:cstheme="minorHAnsi"/>
                <w:b/>
                <w:bCs/>
                <w:sz w:val="16"/>
                <w:szCs w:val="16"/>
                <w:lang w:val="es-CO" w:eastAsia="es-CO"/>
              </w:rPr>
            </w:pPr>
            <w:r>
              <w:rPr>
                <w:rFonts w:asciiTheme="minorHAnsi" w:hAnsiTheme="minorHAnsi" w:cstheme="minorHAnsi"/>
                <w:b/>
                <w:bCs/>
                <w:sz w:val="16"/>
                <w:szCs w:val="16"/>
                <w:lang w:val="es-CO" w:eastAsia="es-CO"/>
              </w:rPr>
              <w:t xml:space="preserve">¿Cumple en la  </w:t>
            </w:r>
            <w:r w:rsidR="000B0F0A" w:rsidRPr="000B0F0A">
              <w:rPr>
                <w:rFonts w:asciiTheme="minorHAnsi" w:hAnsiTheme="minorHAnsi" w:cstheme="minorHAnsi"/>
                <w:b/>
                <w:bCs/>
                <w:sz w:val="16"/>
                <w:szCs w:val="16"/>
                <w:lang w:val="es-CO" w:eastAsia="es-CO"/>
              </w:rPr>
              <w:t>muestra evaluada?</w:t>
            </w:r>
          </w:p>
        </w:tc>
        <w:tc>
          <w:tcPr>
            <w:tcW w:w="4110" w:type="dxa"/>
            <w:tcBorders>
              <w:top w:val="nil"/>
              <w:left w:val="nil"/>
              <w:bottom w:val="single" w:sz="4" w:space="0" w:color="auto"/>
              <w:right w:val="single" w:sz="4" w:space="0" w:color="auto"/>
            </w:tcBorders>
            <w:shd w:val="clear" w:color="000000" w:fill="D0CECE"/>
            <w:vAlign w:val="center"/>
            <w:hideMark/>
          </w:tcPr>
          <w:p w14:paraId="6A9EC498" w14:textId="77777777" w:rsidR="000B0F0A" w:rsidRPr="000B0F0A" w:rsidRDefault="000B0F0A" w:rsidP="000B0F0A">
            <w:pPr>
              <w:suppressAutoHyphens w:val="0"/>
              <w:autoSpaceDN/>
              <w:jc w:val="center"/>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Descripción información suministrada</w:t>
            </w:r>
          </w:p>
        </w:tc>
        <w:tc>
          <w:tcPr>
            <w:tcW w:w="3969" w:type="dxa"/>
            <w:tcBorders>
              <w:top w:val="nil"/>
              <w:left w:val="nil"/>
              <w:bottom w:val="single" w:sz="4" w:space="0" w:color="auto"/>
              <w:right w:val="single" w:sz="4" w:space="0" w:color="auto"/>
            </w:tcBorders>
            <w:shd w:val="clear" w:color="000000" w:fill="D0CECE"/>
            <w:vAlign w:val="center"/>
            <w:hideMark/>
          </w:tcPr>
          <w:p w14:paraId="67E8DE6C" w14:textId="77777777" w:rsidR="000B0F0A" w:rsidRPr="000B0F0A" w:rsidRDefault="000B0F0A" w:rsidP="000B0F0A">
            <w:pPr>
              <w:suppressAutoHyphens w:val="0"/>
              <w:autoSpaceDN/>
              <w:jc w:val="center"/>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Observaciones OCI</w:t>
            </w:r>
          </w:p>
        </w:tc>
      </w:tr>
      <w:tr w:rsidR="002A5943" w:rsidRPr="000B0F0A" w14:paraId="099E3787" w14:textId="77777777" w:rsidTr="002B0B25">
        <w:trPr>
          <w:trHeight w:val="1632"/>
        </w:trPr>
        <w:tc>
          <w:tcPr>
            <w:tcW w:w="317" w:type="dxa"/>
            <w:vMerge w:val="restart"/>
            <w:tcBorders>
              <w:top w:val="nil"/>
              <w:left w:val="single" w:sz="4" w:space="0" w:color="auto"/>
              <w:bottom w:val="single" w:sz="4" w:space="0" w:color="000000"/>
              <w:right w:val="single" w:sz="4" w:space="0" w:color="auto"/>
            </w:tcBorders>
            <w:shd w:val="clear" w:color="auto" w:fill="auto"/>
            <w:vAlign w:val="center"/>
            <w:hideMark/>
          </w:tcPr>
          <w:p w14:paraId="6A829CFB" w14:textId="77777777" w:rsidR="002A5943" w:rsidRPr="000B0F0A" w:rsidRDefault="002A5943" w:rsidP="000B0F0A">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1</w:t>
            </w:r>
          </w:p>
        </w:tc>
        <w:tc>
          <w:tcPr>
            <w:tcW w:w="954" w:type="dxa"/>
            <w:vMerge w:val="restart"/>
            <w:tcBorders>
              <w:top w:val="nil"/>
              <w:left w:val="single" w:sz="4" w:space="0" w:color="auto"/>
              <w:bottom w:val="single" w:sz="4" w:space="0" w:color="000000"/>
              <w:right w:val="single" w:sz="4" w:space="0" w:color="auto"/>
            </w:tcBorders>
            <w:shd w:val="clear" w:color="auto" w:fill="auto"/>
            <w:vAlign w:val="center"/>
            <w:hideMark/>
          </w:tcPr>
          <w:p w14:paraId="2FCD4664" w14:textId="77777777" w:rsidR="002A5943" w:rsidRPr="000B0F0A" w:rsidRDefault="002A5943" w:rsidP="000B0F0A">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Caja menor</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14:paraId="711231CF" w14:textId="5B6F7284" w:rsidR="002A5943" w:rsidRPr="005352D6" w:rsidRDefault="002A5943" w:rsidP="000B0F0A">
            <w:pPr>
              <w:suppressAutoHyphens w:val="0"/>
              <w:autoSpaceDN/>
              <w:textAlignment w:val="auto"/>
              <w:rPr>
                <w:rFonts w:asciiTheme="minorHAnsi" w:hAnsiTheme="minorHAnsi" w:cstheme="minorHAnsi"/>
                <w:i/>
                <w:sz w:val="16"/>
                <w:szCs w:val="16"/>
                <w:lang w:val="es-CO" w:eastAsia="es-CO"/>
              </w:rPr>
            </w:pPr>
            <w:r w:rsidRPr="005352D6">
              <w:rPr>
                <w:rFonts w:asciiTheme="minorHAnsi" w:hAnsiTheme="minorHAnsi" w:cstheme="minorHAnsi"/>
                <w:i/>
                <w:sz w:val="16"/>
                <w:szCs w:val="16"/>
                <w:lang w:val="es-CO" w:eastAsia="es-CO"/>
              </w:rPr>
              <w:t xml:space="preserve">Enviar al área de Contabilidad reporte y soportes del reembolso de la caja menor (incluye la consignación de los impuestos por parte del área encargada), firmados por el Subdirector Administrativo y Financiero, el cual debe contener: NIT o cédula del beneficiario, nombre beneficiario, valor bruto antes de IVA, Impuesto a las ventas, retenciones por tributos y valor neto pagado. </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14:paraId="620DB6FA" w14:textId="77777777" w:rsidR="002A5943" w:rsidRPr="000B0F0A" w:rsidRDefault="002A5943" w:rsidP="000B0F0A">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t xml:space="preserve">12.1.2. </w:t>
            </w:r>
            <w:r w:rsidRPr="000B0F0A">
              <w:rPr>
                <w:rFonts w:asciiTheme="minorHAnsi" w:hAnsiTheme="minorHAnsi" w:cstheme="minorHAnsi"/>
                <w:b/>
                <w:bCs/>
                <w:color w:val="000000"/>
                <w:sz w:val="16"/>
                <w:szCs w:val="16"/>
                <w:lang w:val="es-CO" w:eastAsia="es-CO"/>
              </w:rPr>
              <w:t>Efectivo y equivalente al efectivo</w:t>
            </w:r>
            <w:r w:rsidRPr="000B0F0A">
              <w:rPr>
                <w:rFonts w:asciiTheme="minorHAnsi" w:hAnsiTheme="minorHAnsi" w:cstheme="minorHAnsi"/>
                <w:color w:val="000000"/>
                <w:sz w:val="16"/>
                <w:szCs w:val="16"/>
                <w:lang w:val="es-CO" w:eastAsia="es-CO"/>
              </w:rPr>
              <w:t xml:space="preserve">. - </w:t>
            </w:r>
            <w:r w:rsidRPr="000B0F0A">
              <w:rPr>
                <w:rFonts w:asciiTheme="minorHAnsi" w:hAnsiTheme="minorHAnsi" w:cstheme="minorHAnsi"/>
                <w:b/>
                <w:bCs/>
                <w:color w:val="000000"/>
                <w:sz w:val="16"/>
                <w:szCs w:val="16"/>
                <w:lang w:val="es-CO" w:eastAsia="es-CO"/>
              </w:rPr>
              <w:t>Reconocimiento</w:t>
            </w:r>
            <w:r w:rsidRPr="000B0F0A">
              <w:rPr>
                <w:rFonts w:asciiTheme="minorHAnsi" w:hAnsiTheme="minorHAnsi" w:cstheme="minorHAnsi"/>
                <w:color w:val="000000"/>
                <w:sz w:val="16"/>
                <w:szCs w:val="16"/>
                <w:lang w:val="es-CO" w:eastAsia="es-CO"/>
              </w:rPr>
              <w:t xml:space="preserve">: </w:t>
            </w:r>
            <w:r w:rsidRPr="000B0F0A">
              <w:rPr>
                <w:rFonts w:asciiTheme="minorHAnsi" w:hAnsiTheme="minorHAnsi" w:cstheme="minorHAnsi"/>
                <w:i/>
                <w:iCs/>
                <w:color w:val="000000"/>
                <w:sz w:val="16"/>
                <w:szCs w:val="16"/>
                <w:lang w:val="es-CO" w:eastAsia="es-CO"/>
              </w:rPr>
              <w:t>"…El Efectivo comprende los recursos que se mantienen con una disponibilidad inmediata en caja, cuentas corrientes, cuentas de ahorro, fondos en tránsito y fondos que están disponibles para el desarrollo de las actividades del IDRD..."</w:t>
            </w:r>
          </w:p>
        </w:tc>
        <w:tc>
          <w:tcPr>
            <w:tcW w:w="1276" w:type="dxa"/>
            <w:tcBorders>
              <w:top w:val="nil"/>
              <w:left w:val="nil"/>
              <w:bottom w:val="single" w:sz="4" w:space="0" w:color="auto"/>
              <w:right w:val="single" w:sz="4" w:space="0" w:color="auto"/>
            </w:tcBorders>
            <w:shd w:val="clear" w:color="auto" w:fill="auto"/>
            <w:vAlign w:val="center"/>
            <w:hideMark/>
          </w:tcPr>
          <w:p w14:paraId="43317A80" w14:textId="25A28524" w:rsidR="002A5943" w:rsidRPr="000B0F0A" w:rsidRDefault="002A5943" w:rsidP="000B0F0A">
            <w:pPr>
              <w:suppressAutoHyphens w:val="0"/>
              <w:autoSpaceDN/>
              <w:spacing w:after="240"/>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Oficina Asesora Jurídica</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5C3546A2" w14:textId="77777777" w:rsidR="002A5943" w:rsidRPr="000B0F0A" w:rsidRDefault="002A5943" w:rsidP="000B0F0A">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Se realizará en el momento que soliciten los reembolsos de caja menor.</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La legalización de las cajas menores se realizará antes del 18 de diciembre de cada vigencia.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2E38F4B" w14:textId="2CEE9B2E" w:rsidR="002A5943" w:rsidRPr="000B0F0A" w:rsidRDefault="002A5943" w:rsidP="00F82628">
            <w:pPr>
              <w:suppressAutoHyphens w:val="0"/>
              <w:autoSpaceDN/>
              <w:jc w:val="center"/>
              <w:textAlignment w:val="auto"/>
              <w:rPr>
                <w:rFonts w:asciiTheme="minorHAnsi" w:hAnsiTheme="minorHAnsi" w:cstheme="minorHAnsi"/>
                <w:sz w:val="16"/>
                <w:szCs w:val="16"/>
                <w:lang w:val="es-CO" w:eastAsia="es-CO"/>
              </w:rPr>
            </w:pPr>
            <w:r w:rsidRPr="00F82628">
              <w:rPr>
                <w:rFonts w:asciiTheme="minorHAnsi" w:hAnsiTheme="minorHAnsi" w:cstheme="minorHAnsi"/>
                <w:sz w:val="16"/>
                <w:szCs w:val="16"/>
                <w:lang w:val="es-CO" w:eastAsia="es-CO"/>
              </w:rPr>
              <w:t>20211500110573</w:t>
            </w:r>
          </w:p>
        </w:tc>
        <w:tc>
          <w:tcPr>
            <w:tcW w:w="993" w:type="dxa"/>
            <w:vMerge w:val="restart"/>
            <w:tcBorders>
              <w:top w:val="nil"/>
              <w:left w:val="single" w:sz="4" w:space="0" w:color="auto"/>
              <w:right w:val="single" w:sz="4" w:space="0" w:color="auto"/>
            </w:tcBorders>
            <w:shd w:val="clear" w:color="auto" w:fill="FFD966" w:themeFill="accent4" w:themeFillTint="99"/>
            <w:vAlign w:val="center"/>
            <w:hideMark/>
          </w:tcPr>
          <w:p w14:paraId="0A8D5363" w14:textId="77777777" w:rsidR="002A5943" w:rsidRDefault="00DE67E9" w:rsidP="00DE67E9">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PARCIAL</w:t>
            </w:r>
          </w:p>
          <w:p w14:paraId="250A4C2B" w14:textId="141F4C75" w:rsidR="00DE67E9" w:rsidRDefault="00B00425" w:rsidP="00630E71">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67.5</w:t>
            </w:r>
            <w:r w:rsidR="00DE67E9">
              <w:rPr>
                <w:rFonts w:asciiTheme="minorHAnsi" w:hAnsiTheme="minorHAnsi" w:cstheme="minorHAnsi"/>
                <w:sz w:val="16"/>
                <w:szCs w:val="16"/>
                <w:lang w:val="es-CO" w:eastAsia="es-CO"/>
              </w:rPr>
              <w:t>%</w:t>
            </w:r>
          </w:p>
          <w:p w14:paraId="2D8938AD" w14:textId="77777777" w:rsidR="00630E71" w:rsidRDefault="00630E71" w:rsidP="00630E71">
            <w:pPr>
              <w:suppressAutoHyphens w:val="0"/>
              <w:autoSpaceDN/>
              <w:jc w:val="center"/>
              <w:textAlignment w:val="auto"/>
              <w:rPr>
                <w:rFonts w:asciiTheme="minorHAnsi" w:hAnsiTheme="minorHAnsi" w:cstheme="minorHAnsi"/>
                <w:sz w:val="16"/>
                <w:szCs w:val="16"/>
                <w:lang w:val="es-CO" w:eastAsia="es-CO"/>
              </w:rPr>
            </w:pPr>
          </w:p>
          <w:p w14:paraId="0DB69A25" w14:textId="77777777" w:rsidR="00630E71" w:rsidRDefault="00630E71" w:rsidP="00630E71">
            <w:pPr>
              <w:suppressAutoHyphens w:val="0"/>
              <w:autoSpaceDN/>
              <w:jc w:val="center"/>
              <w:textAlignment w:val="auto"/>
              <w:rPr>
                <w:rFonts w:asciiTheme="minorHAnsi" w:hAnsiTheme="minorHAnsi" w:cstheme="minorHAnsi"/>
                <w:sz w:val="16"/>
                <w:szCs w:val="16"/>
                <w:lang w:val="es-CO" w:eastAsia="es-CO"/>
              </w:rPr>
            </w:pPr>
          </w:p>
          <w:p w14:paraId="2AB4C33B" w14:textId="59639FDC" w:rsidR="00630E71" w:rsidRDefault="00630E71" w:rsidP="00630E71">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(OAJ </w:t>
            </w:r>
            <w:r w:rsidR="00B00425">
              <w:rPr>
                <w:rFonts w:asciiTheme="minorHAnsi" w:hAnsiTheme="minorHAnsi" w:cstheme="minorHAnsi"/>
                <w:sz w:val="16"/>
                <w:szCs w:val="16"/>
                <w:lang w:val="es-CO" w:eastAsia="es-CO"/>
              </w:rPr>
              <w:t>40</w:t>
            </w:r>
            <w:r>
              <w:rPr>
                <w:rFonts w:asciiTheme="minorHAnsi" w:hAnsiTheme="minorHAnsi" w:cstheme="minorHAnsi"/>
                <w:sz w:val="16"/>
                <w:szCs w:val="16"/>
                <w:lang w:val="es-CO" w:eastAsia="es-CO"/>
              </w:rPr>
              <w:t>9%</w:t>
            </w:r>
          </w:p>
          <w:p w14:paraId="6EFCECEF" w14:textId="290A597D" w:rsidR="00630E71" w:rsidRPr="000B0F0A" w:rsidRDefault="00630E71" w:rsidP="00630E71">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SAF 9</w:t>
            </w:r>
            <w:r w:rsidR="00B00425">
              <w:rPr>
                <w:rFonts w:asciiTheme="minorHAnsi" w:hAnsiTheme="minorHAnsi" w:cstheme="minorHAnsi"/>
                <w:sz w:val="16"/>
                <w:szCs w:val="16"/>
                <w:lang w:val="es-CO" w:eastAsia="es-CO"/>
              </w:rPr>
              <w:t>5</w:t>
            </w:r>
            <w:r>
              <w:rPr>
                <w:rFonts w:asciiTheme="minorHAnsi" w:hAnsiTheme="minorHAnsi" w:cstheme="minorHAnsi"/>
                <w:sz w:val="16"/>
                <w:szCs w:val="16"/>
                <w:lang w:val="es-CO" w:eastAsia="es-CO"/>
              </w:rPr>
              <w:t>%)</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14:paraId="0353B10B" w14:textId="0E53A1B6" w:rsidR="002A5943" w:rsidRPr="00EB46F3" w:rsidRDefault="002A5943" w:rsidP="007E0E17">
            <w:pPr>
              <w:suppressAutoHyphens w:val="0"/>
              <w:autoSpaceDN/>
              <w:textAlignment w:val="auto"/>
              <w:rPr>
                <w:rFonts w:asciiTheme="minorHAnsi" w:hAnsiTheme="minorHAnsi" w:cstheme="minorHAnsi"/>
                <w:sz w:val="16"/>
                <w:szCs w:val="16"/>
                <w:lang w:val="es-CO" w:eastAsia="es-CO"/>
              </w:rPr>
            </w:pPr>
            <w:r w:rsidRPr="007E0E17">
              <w:rPr>
                <w:rFonts w:asciiTheme="minorHAnsi" w:hAnsiTheme="minorHAnsi" w:cstheme="minorHAnsi"/>
                <w:sz w:val="16"/>
                <w:szCs w:val="16"/>
                <w:lang w:val="es-CO" w:eastAsia="es-CO"/>
              </w:rPr>
              <w:t>Respecto de la legalización a 31-dic-202</w:t>
            </w:r>
            <w:r w:rsidR="00B00425">
              <w:rPr>
                <w:rFonts w:asciiTheme="minorHAnsi" w:hAnsiTheme="minorHAnsi" w:cstheme="minorHAnsi"/>
                <w:sz w:val="16"/>
                <w:szCs w:val="16"/>
                <w:lang w:val="es-CO" w:eastAsia="es-CO"/>
              </w:rPr>
              <w:t>0</w:t>
            </w:r>
            <w:r w:rsidRPr="007E0E17">
              <w:rPr>
                <w:rFonts w:asciiTheme="minorHAnsi" w:hAnsiTheme="minorHAnsi" w:cstheme="minorHAnsi"/>
                <w:sz w:val="16"/>
                <w:szCs w:val="16"/>
                <w:lang w:val="es-CO" w:eastAsia="es-CO"/>
              </w:rPr>
              <w:t xml:space="preserve">, la OAJ remite carpeta </w:t>
            </w:r>
            <w:r w:rsidRPr="00EB46F3">
              <w:rPr>
                <w:rFonts w:asciiTheme="minorHAnsi" w:hAnsiTheme="minorHAnsi" w:cstheme="minorHAnsi"/>
                <w:sz w:val="16"/>
                <w:szCs w:val="16"/>
                <w:lang w:val="es-CO" w:eastAsia="es-CO"/>
              </w:rPr>
              <w:t xml:space="preserve">en formato ZIP que </w:t>
            </w:r>
            <w:r w:rsidR="00506E01" w:rsidRPr="00EB46F3">
              <w:rPr>
                <w:rFonts w:asciiTheme="minorHAnsi" w:hAnsiTheme="minorHAnsi" w:cstheme="minorHAnsi"/>
                <w:sz w:val="16"/>
                <w:szCs w:val="16"/>
                <w:lang w:val="es-CO" w:eastAsia="es-CO"/>
              </w:rPr>
              <w:t>contiene</w:t>
            </w:r>
            <w:r w:rsidR="00C55B24" w:rsidRPr="00EB46F3">
              <w:rPr>
                <w:rFonts w:asciiTheme="minorHAnsi" w:hAnsiTheme="minorHAnsi" w:cstheme="minorHAnsi"/>
                <w:sz w:val="16"/>
                <w:szCs w:val="16"/>
                <w:lang w:val="es-CO" w:eastAsia="es-CO"/>
              </w:rPr>
              <w:t>:</w:t>
            </w:r>
            <w:r w:rsidR="002078B8" w:rsidRPr="00EB46F3">
              <w:rPr>
                <w:rFonts w:asciiTheme="minorHAnsi" w:hAnsiTheme="minorHAnsi" w:cstheme="minorHAnsi"/>
                <w:sz w:val="16"/>
                <w:szCs w:val="16"/>
                <w:lang w:val="es-CO" w:eastAsia="es-CO"/>
              </w:rPr>
              <w:t xml:space="preserve"> balance, comprobante</w:t>
            </w:r>
            <w:r w:rsidR="00506E01" w:rsidRPr="00EB46F3">
              <w:rPr>
                <w:rFonts w:asciiTheme="minorHAnsi" w:hAnsiTheme="minorHAnsi" w:cstheme="minorHAnsi"/>
                <w:sz w:val="16"/>
                <w:szCs w:val="16"/>
                <w:lang w:val="es-CO" w:eastAsia="es-CO"/>
              </w:rPr>
              <w:t>s</w:t>
            </w:r>
            <w:r w:rsidR="002078B8" w:rsidRPr="00EB46F3">
              <w:rPr>
                <w:rFonts w:asciiTheme="minorHAnsi" w:hAnsiTheme="minorHAnsi" w:cstheme="minorHAnsi"/>
                <w:sz w:val="16"/>
                <w:szCs w:val="16"/>
                <w:lang w:val="es-CO" w:eastAsia="es-CO"/>
              </w:rPr>
              <w:t xml:space="preserve"> de caja menor No. </w:t>
            </w:r>
            <w:r w:rsidR="00506E01" w:rsidRPr="00EB46F3">
              <w:rPr>
                <w:rFonts w:asciiTheme="minorHAnsi" w:hAnsiTheme="minorHAnsi" w:cstheme="minorHAnsi"/>
                <w:sz w:val="16"/>
                <w:szCs w:val="16"/>
                <w:lang w:val="es-CO" w:eastAsia="es-CO"/>
              </w:rPr>
              <w:t>1,</w:t>
            </w:r>
            <w:r w:rsidR="004667B6" w:rsidRPr="00EB46F3">
              <w:rPr>
                <w:rFonts w:asciiTheme="minorHAnsi" w:hAnsiTheme="minorHAnsi" w:cstheme="minorHAnsi"/>
                <w:sz w:val="16"/>
                <w:szCs w:val="16"/>
                <w:lang w:val="es-CO" w:eastAsia="es-CO"/>
              </w:rPr>
              <w:t xml:space="preserve"> </w:t>
            </w:r>
            <w:r w:rsidR="002078B8" w:rsidRPr="00EB46F3">
              <w:rPr>
                <w:rFonts w:asciiTheme="minorHAnsi" w:hAnsiTheme="minorHAnsi" w:cstheme="minorHAnsi"/>
                <w:sz w:val="16"/>
                <w:szCs w:val="16"/>
                <w:lang w:val="es-CO" w:eastAsia="es-CO"/>
              </w:rPr>
              <w:t>2</w:t>
            </w:r>
            <w:r w:rsidR="00506E01" w:rsidRPr="00EB46F3">
              <w:rPr>
                <w:rFonts w:asciiTheme="minorHAnsi" w:hAnsiTheme="minorHAnsi" w:cstheme="minorHAnsi"/>
                <w:sz w:val="16"/>
                <w:szCs w:val="16"/>
                <w:lang w:val="es-CO" w:eastAsia="es-CO"/>
              </w:rPr>
              <w:t xml:space="preserve"> y</w:t>
            </w:r>
            <w:r w:rsidR="00EB46F3" w:rsidRPr="00EB46F3">
              <w:rPr>
                <w:rFonts w:asciiTheme="minorHAnsi" w:hAnsiTheme="minorHAnsi" w:cstheme="minorHAnsi"/>
                <w:sz w:val="16"/>
                <w:szCs w:val="16"/>
                <w:lang w:val="es-CO" w:eastAsia="es-CO"/>
              </w:rPr>
              <w:t xml:space="preserve"> </w:t>
            </w:r>
            <w:r w:rsidR="00506E01" w:rsidRPr="00EB46F3">
              <w:rPr>
                <w:rFonts w:asciiTheme="minorHAnsi" w:hAnsiTheme="minorHAnsi" w:cstheme="minorHAnsi"/>
                <w:sz w:val="16"/>
                <w:szCs w:val="16"/>
                <w:lang w:val="es-CO" w:eastAsia="es-CO"/>
              </w:rPr>
              <w:t>3</w:t>
            </w:r>
            <w:r w:rsidR="00EB46F3" w:rsidRPr="00EB46F3">
              <w:rPr>
                <w:rFonts w:asciiTheme="minorHAnsi" w:hAnsiTheme="minorHAnsi" w:cstheme="minorHAnsi"/>
                <w:sz w:val="16"/>
                <w:szCs w:val="16"/>
                <w:lang w:val="es-CO" w:eastAsia="es-CO"/>
              </w:rPr>
              <w:t>,</w:t>
            </w:r>
            <w:r w:rsidRPr="00EB46F3">
              <w:rPr>
                <w:rFonts w:asciiTheme="minorHAnsi" w:hAnsiTheme="minorHAnsi" w:cstheme="minorHAnsi"/>
                <w:sz w:val="16"/>
                <w:szCs w:val="16"/>
                <w:lang w:val="es-CO" w:eastAsia="es-CO"/>
              </w:rPr>
              <w:t xml:space="preserve"> cons</w:t>
            </w:r>
            <w:r w:rsidR="00EB46F3" w:rsidRPr="00EB46F3">
              <w:rPr>
                <w:rFonts w:asciiTheme="minorHAnsi" w:hAnsiTheme="minorHAnsi" w:cstheme="minorHAnsi"/>
                <w:sz w:val="16"/>
                <w:szCs w:val="16"/>
                <w:lang w:val="es-CO" w:eastAsia="es-CO"/>
              </w:rPr>
              <w:t>ignación</w:t>
            </w:r>
            <w:r w:rsidRPr="00EB46F3">
              <w:rPr>
                <w:rFonts w:asciiTheme="minorHAnsi" w:hAnsiTheme="minorHAnsi" w:cstheme="minorHAnsi"/>
                <w:sz w:val="16"/>
                <w:szCs w:val="16"/>
                <w:lang w:val="es-CO" w:eastAsia="es-CO"/>
              </w:rPr>
              <w:t>, orden de pago y reintegro caja menor.</w:t>
            </w:r>
          </w:p>
          <w:p w14:paraId="38A3FD03" w14:textId="77777777" w:rsidR="00C55B24" w:rsidRDefault="00C55B24" w:rsidP="007E0E17">
            <w:pPr>
              <w:suppressAutoHyphens w:val="0"/>
              <w:autoSpaceDN/>
              <w:textAlignment w:val="auto"/>
              <w:rPr>
                <w:rFonts w:asciiTheme="minorHAnsi" w:hAnsiTheme="minorHAnsi" w:cstheme="minorHAnsi"/>
                <w:color w:val="FF0000"/>
                <w:sz w:val="16"/>
                <w:szCs w:val="16"/>
                <w:lang w:val="es-CO" w:eastAsia="es-CO"/>
              </w:rPr>
            </w:pPr>
          </w:p>
          <w:p w14:paraId="39EC5835" w14:textId="55807928" w:rsidR="00C55B24" w:rsidRPr="007E0E17" w:rsidRDefault="00C55B24" w:rsidP="00C55B24">
            <w:pPr>
              <w:suppressAutoHyphens w:val="0"/>
              <w:autoSpaceDN/>
              <w:textAlignment w:val="auto"/>
              <w:rPr>
                <w:rFonts w:asciiTheme="minorHAnsi" w:hAnsiTheme="minorHAnsi" w:cstheme="minorHAnsi"/>
                <w:i/>
                <w:sz w:val="16"/>
                <w:szCs w:val="16"/>
                <w:lang w:val="es-CO" w:eastAsia="es-CO"/>
              </w:rPr>
            </w:pPr>
            <w:r w:rsidRPr="007E0E17">
              <w:rPr>
                <w:rFonts w:asciiTheme="minorHAnsi" w:hAnsiTheme="minorHAnsi" w:cstheme="minorHAnsi"/>
                <w:sz w:val="16"/>
                <w:szCs w:val="16"/>
                <w:lang w:val="es-CO" w:eastAsia="es-CO"/>
              </w:rPr>
              <w:t> </w:t>
            </w:r>
            <w:r w:rsidR="00506E01">
              <w:rPr>
                <w:rFonts w:asciiTheme="minorHAnsi" w:hAnsiTheme="minorHAnsi" w:cstheme="minorHAnsi"/>
                <w:sz w:val="16"/>
                <w:szCs w:val="16"/>
                <w:lang w:val="es-CO" w:eastAsia="es-CO"/>
              </w:rPr>
              <w:t>De otra parte, l</w:t>
            </w:r>
            <w:r w:rsidRPr="007E0E17">
              <w:rPr>
                <w:rFonts w:asciiTheme="minorHAnsi" w:hAnsiTheme="minorHAnsi" w:cstheme="minorHAnsi"/>
                <w:sz w:val="16"/>
                <w:szCs w:val="16"/>
                <w:lang w:val="es-CO" w:eastAsia="es-CO"/>
              </w:rPr>
              <w:t xml:space="preserve">a OAJ informa que </w:t>
            </w:r>
            <w:r w:rsidRPr="007E0E17">
              <w:rPr>
                <w:rFonts w:asciiTheme="minorHAnsi" w:hAnsiTheme="minorHAnsi" w:cstheme="minorHAnsi"/>
                <w:i/>
                <w:sz w:val="16"/>
                <w:szCs w:val="16"/>
                <w:lang w:val="es-CO" w:eastAsia="es-CO"/>
              </w:rPr>
              <w:t xml:space="preserve">“…Mediante Radicado IDRD No. 20211100127833 se solicitó al área de presupuesto el CDP para proceder con la elaboración del proyecto de resolución por la cual se constituye y establece el funcionamiento de la caja menor de la Oficina Asesora Jurídica los cuales serán para asuntos privativos de gastos propios de esta oficina. </w:t>
            </w:r>
          </w:p>
          <w:p w14:paraId="3B00BCA6" w14:textId="77777777" w:rsidR="00C55B24" w:rsidRPr="007E0E17" w:rsidRDefault="00C55B24" w:rsidP="00C55B24">
            <w:pPr>
              <w:suppressAutoHyphens w:val="0"/>
              <w:autoSpaceDN/>
              <w:textAlignment w:val="auto"/>
              <w:rPr>
                <w:rFonts w:asciiTheme="minorHAnsi" w:hAnsiTheme="minorHAnsi" w:cstheme="minorHAnsi"/>
                <w:i/>
                <w:sz w:val="16"/>
                <w:szCs w:val="16"/>
                <w:lang w:val="es-CO" w:eastAsia="es-CO"/>
              </w:rPr>
            </w:pPr>
            <w:r w:rsidRPr="007E0E17">
              <w:rPr>
                <w:rFonts w:asciiTheme="minorHAnsi" w:hAnsiTheme="minorHAnsi" w:cstheme="minorHAnsi"/>
                <w:i/>
                <w:sz w:val="16"/>
                <w:szCs w:val="16"/>
                <w:lang w:val="es-CO" w:eastAsia="es-CO"/>
              </w:rPr>
              <w:t>…La Oficina Asesora Jurídica en la vigencia 2021 no ha recibido reembolsos para manejo de la caja menor para la vigencia mencionada.”</w:t>
            </w:r>
          </w:p>
          <w:p w14:paraId="781A91F9" w14:textId="67C62C72" w:rsidR="00C55B24" w:rsidRPr="007E0E17" w:rsidRDefault="00C55B24" w:rsidP="007E0E17">
            <w:pPr>
              <w:suppressAutoHyphens w:val="0"/>
              <w:autoSpaceDN/>
              <w:textAlignment w:val="auto"/>
              <w:rPr>
                <w:rFonts w:asciiTheme="minorHAnsi" w:hAnsiTheme="minorHAnsi" w:cstheme="minorHAnsi"/>
                <w:sz w:val="16"/>
                <w:szCs w:val="16"/>
                <w:lang w:val="es-CO" w:eastAsia="es-CO"/>
              </w:rPr>
            </w:pPr>
          </w:p>
        </w:tc>
        <w:tc>
          <w:tcPr>
            <w:tcW w:w="3969" w:type="dxa"/>
            <w:vMerge w:val="restart"/>
            <w:tcBorders>
              <w:top w:val="nil"/>
              <w:left w:val="single" w:sz="4" w:space="0" w:color="auto"/>
              <w:right w:val="single" w:sz="4" w:space="0" w:color="auto"/>
            </w:tcBorders>
            <w:shd w:val="clear" w:color="auto" w:fill="auto"/>
            <w:vAlign w:val="center"/>
            <w:hideMark/>
          </w:tcPr>
          <w:p w14:paraId="020D5E94" w14:textId="1D77BB10" w:rsidR="002B6672" w:rsidRPr="002B6672" w:rsidRDefault="002B6672" w:rsidP="000B0F0A">
            <w:pPr>
              <w:suppressAutoHyphens w:val="0"/>
              <w:autoSpaceDN/>
              <w:textAlignment w:val="auto"/>
              <w:rPr>
                <w:rFonts w:asciiTheme="minorHAnsi" w:hAnsiTheme="minorHAnsi" w:cstheme="minorHAnsi"/>
                <w:b/>
                <w:sz w:val="16"/>
                <w:szCs w:val="16"/>
                <w:lang w:val="es-CO" w:eastAsia="es-CO"/>
              </w:rPr>
            </w:pPr>
            <w:r w:rsidRPr="002B6672">
              <w:rPr>
                <w:rFonts w:asciiTheme="minorHAnsi" w:hAnsiTheme="minorHAnsi" w:cstheme="minorHAnsi"/>
                <w:b/>
                <w:sz w:val="16"/>
                <w:szCs w:val="16"/>
                <w:lang w:val="es-CO" w:eastAsia="es-CO"/>
              </w:rPr>
              <w:t>LEGALIZACIÓN DE LA CAJA MENOR A 31-</w:t>
            </w:r>
            <w:r w:rsidR="007662F5">
              <w:rPr>
                <w:rFonts w:asciiTheme="minorHAnsi" w:hAnsiTheme="minorHAnsi" w:cstheme="minorHAnsi"/>
                <w:b/>
                <w:sz w:val="16"/>
                <w:szCs w:val="16"/>
                <w:lang w:val="es-CO" w:eastAsia="es-CO"/>
              </w:rPr>
              <w:t>DI</w:t>
            </w:r>
            <w:r w:rsidRPr="002B6672">
              <w:rPr>
                <w:rFonts w:asciiTheme="minorHAnsi" w:hAnsiTheme="minorHAnsi" w:cstheme="minorHAnsi"/>
                <w:b/>
                <w:sz w:val="16"/>
                <w:szCs w:val="16"/>
                <w:lang w:val="es-CO" w:eastAsia="es-CO"/>
              </w:rPr>
              <w:t>C-2020</w:t>
            </w:r>
          </w:p>
          <w:p w14:paraId="6B08AC5B" w14:textId="77777777" w:rsidR="006568B0" w:rsidRDefault="006568B0" w:rsidP="000B0F0A">
            <w:pPr>
              <w:suppressAutoHyphens w:val="0"/>
              <w:autoSpaceDN/>
              <w:textAlignment w:val="auto"/>
              <w:rPr>
                <w:rFonts w:asciiTheme="minorHAnsi" w:hAnsiTheme="minorHAnsi" w:cstheme="minorHAnsi"/>
                <w:sz w:val="16"/>
                <w:szCs w:val="16"/>
                <w:lang w:val="es-CO" w:eastAsia="es-CO"/>
              </w:rPr>
            </w:pPr>
          </w:p>
          <w:p w14:paraId="2A3EA636" w14:textId="7941C3FD" w:rsidR="008A7BDF" w:rsidRDefault="00C55B24" w:rsidP="000B0F0A">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Al revisar los documentos de legalización</w:t>
            </w:r>
            <w:r w:rsidR="002B6672">
              <w:rPr>
                <w:rFonts w:asciiTheme="minorHAnsi" w:hAnsiTheme="minorHAnsi" w:cstheme="minorHAnsi"/>
                <w:sz w:val="16"/>
                <w:szCs w:val="16"/>
                <w:lang w:val="es-CO" w:eastAsia="es-CO"/>
              </w:rPr>
              <w:t xml:space="preserve"> de la caja menor de la OAJ se</w:t>
            </w:r>
            <w:r>
              <w:rPr>
                <w:rFonts w:asciiTheme="minorHAnsi" w:hAnsiTheme="minorHAnsi" w:cstheme="minorHAnsi"/>
                <w:sz w:val="16"/>
                <w:szCs w:val="16"/>
                <w:lang w:val="es-CO" w:eastAsia="es-CO"/>
              </w:rPr>
              <w:t xml:space="preserve"> observ</w:t>
            </w:r>
            <w:r w:rsidR="00AE67B6">
              <w:rPr>
                <w:rFonts w:asciiTheme="minorHAnsi" w:hAnsiTheme="minorHAnsi" w:cstheme="minorHAnsi"/>
                <w:sz w:val="16"/>
                <w:szCs w:val="16"/>
                <w:lang w:val="es-CO" w:eastAsia="es-CO"/>
              </w:rPr>
              <w:t>ó</w:t>
            </w:r>
            <w:r w:rsidR="008A7BDF">
              <w:rPr>
                <w:rFonts w:asciiTheme="minorHAnsi" w:hAnsiTheme="minorHAnsi" w:cstheme="minorHAnsi"/>
                <w:sz w:val="16"/>
                <w:szCs w:val="16"/>
                <w:lang w:val="es-CO" w:eastAsia="es-CO"/>
              </w:rPr>
              <w:t xml:space="preserve"> lo siguiente:</w:t>
            </w:r>
          </w:p>
          <w:p w14:paraId="39558A9B" w14:textId="113248ED" w:rsidR="008A7BDF" w:rsidRDefault="00167E9F" w:rsidP="00167E9F">
            <w:pPr>
              <w:pStyle w:val="Prrafodelista"/>
              <w:suppressAutoHyphens w:val="0"/>
              <w:autoSpaceDN/>
              <w:ind w:left="0"/>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 </w:t>
            </w:r>
            <w:r w:rsidR="008A7BDF">
              <w:rPr>
                <w:rFonts w:asciiTheme="minorHAnsi" w:hAnsiTheme="minorHAnsi" w:cstheme="minorHAnsi"/>
                <w:sz w:val="16"/>
                <w:szCs w:val="16"/>
                <w:lang w:val="es-CO" w:eastAsia="es-CO"/>
              </w:rPr>
              <w:t>E</w:t>
            </w:r>
            <w:r w:rsidR="00C55B24">
              <w:rPr>
                <w:rFonts w:asciiTheme="minorHAnsi" w:hAnsiTheme="minorHAnsi" w:cstheme="minorHAnsi"/>
                <w:sz w:val="16"/>
                <w:szCs w:val="16"/>
                <w:lang w:val="es-CO" w:eastAsia="es-CO"/>
              </w:rPr>
              <w:t>l Balance</w:t>
            </w:r>
            <w:r w:rsidR="00F66F1F">
              <w:rPr>
                <w:rFonts w:asciiTheme="minorHAnsi" w:hAnsiTheme="minorHAnsi" w:cstheme="minorHAnsi"/>
                <w:sz w:val="16"/>
                <w:szCs w:val="16"/>
                <w:lang w:val="es-CO" w:eastAsia="es-CO"/>
              </w:rPr>
              <w:t>,</w:t>
            </w:r>
            <w:r w:rsidR="00EC516F">
              <w:rPr>
                <w:rFonts w:asciiTheme="minorHAnsi" w:hAnsiTheme="minorHAnsi" w:cstheme="minorHAnsi"/>
                <w:sz w:val="16"/>
                <w:szCs w:val="16"/>
                <w:lang w:val="es-CO" w:eastAsia="es-CO"/>
              </w:rPr>
              <w:t xml:space="preserve"> el documento de reintegro de caja menor</w:t>
            </w:r>
            <w:r w:rsidR="00F66F1F">
              <w:rPr>
                <w:rFonts w:asciiTheme="minorHAnsi" w:hAnsiTheme="minorHAnsi" w:cstheme="minorHAnsi"/>
                <w:sz w:val="16"/>
                <w:szCs w:val="16"/>
                <w:lang w:val="es-CO" w:eastAsia="es-CO"/>
              </w:rPr>
              <w:t xml:space="preserve"> y la orden de pago individual</w:t>
            </w:r>
            <w:r w:rsidR="00EC516F">
              <w:rPr>
                <w:rFonts w:asciiTheme="minorHAnsi" w:hAnsiTheme="minorHAnsi" w:cstheme="minorHAnsi"/>
                <w:sz w:val="16"/>
                <w:szCs w:val="16"/>
                <w:lang w:val="es-CO" w:eastAsia="es-CO"/>
              </w:rPr>
              <w:t xml:space="preserve"> no</w:t>
            </w:r>
            <w:r w:rsidR="004667B6">
              <w:rPr>
                <w:rFonts w:asciiTheme="minorHAnsi" w:hAnsiTheme="minorHAnsi" w:cstheme="minorHAnsi"/>
                <w:sz w:val="16"/>
                <w:szCs w:val="16"/>
                <w:lang w:val="es-CO" w:eastAsia="es-CO"/>
              </w:rPr>
              <w:t xml:space="preserve"> </w:t>
            </w:r>
            <w:r w:rsidR="00506E01">
              <w:rPr>
                <w:rFonts w:asciiTheme="minorHAnsi" w:hAnsiTheme="minorHAnsi" w:cstheme="minorHAnsi"/>
                <w:sz w:val="16"/>
                <w:szCs w:val="16"/>
                <w:lang w:val="es-CO" w:eastAsia="es-CO"/>
              </w:rPr>
              <w:t xml:space="preserve">se </w:t>
            </w:r>
            <w:r w:rsidR="004667B6">
              <w:rPr>
                <w:rFonts w:asciiTheme="minorHAnsi" w:hAnsiTheme="minorHAnsi" w:cstheme="minorHAnsi"/>
                <w:sz w:val="16"/>
                <w:szCs w:val="16"/>
                <w:lang w:val="es-CO" w:eastAsia="es-CO"/>
              </w:rPr>
              <w:t>encuentra</w:t>
            </w:r>
            <w:r w:rsidR="00F66F1F">
              <w:rPr>
                <w:rFonts w:asciiTheme="minorHAnsi" w:hAnsiTheme="minorHAnsi" w:cstheme="minorHAnsi"/>
                <w:sz w:val="16"/>
                <w:szCs w:val="16"/>
                <w:lang w:val="es-CO" w:eastAsia="es-CO"/>
              </w:rPr>
              <w:t>n</w:t>
            </w:r>
            <w:r w:rsidR="000A04EE">
              <w:rPr>
                <w:rFonts w:asciiTheme="minorHAnsi" w:hAnsiTheme="minorHAnsi" w:cstheme="minorHAnsi"/>
                <w:sz w:val="16"/>
                <w:szCs w:val="16"/>
                <w:lang w:val="es-CO" w:eastAsia="es-CO"/>
              </w:rPr>
              <w:t xml:space="preserve"> firmado</w:t>
            </w:r>
            <w:r w:rsidR="00F66F1F">
              <w:rPr>
                <w:rFonts w:asciiTheme="minorHAnsi" w:hAnsiTheme="minorHAnsi" w:cstheme="minorHAnsi"/>
                <w:sz w:val="16"/>
                <w:szCs w:val="16"/>
                <w:lang w:val="es-CO" w:eastAsia="es-CO"/>
              </w:rPr>
              <w:t>s</w:t>
            </w:r>
            <w:r w:rsidR="004667B6">
              <w:rPr>
                <w:rFonts w:asciiTheme="minorHAnsi" w:hAnsiTheme="minorHAnsi" w:cstheme="minorHAnsi"/>
                <w:sz w:val="16"/>
                <w:szCs w:val="16"/>
                <w:lang w:val="es-CO" w:eastAsia="es-CO"/>
              </w:rPr>
              <w:t xml:space="preserve"> por el</w:t>
            </w:r>
            <w:r w:rsidR="00EC516F">
              <w:rPr>
                <w:rFonts w:asciiTheme="minorHAnsi" w:hAnsiTheme="minorHAnsi" w:cstheme="minorHAnsi"/>
                <w:sz w:val="16"/>
                <w:szCs w:val="16"/>
                <w:lang w:val="es-CO" w:eastAsia="es-CO"/>
              </w:rPr>
              <w:t xml:space="preserve"> Subdirector Administrativo y Financiero. </w:t>
            </w:r>
          </w:p>
          <w:p w14:paraId="707CBCF7" w14:textId="3A488FE7" w:rsidR="00620CEE" w:rsidRPr="00620CEE" w:rsidRDefault="00167E9F" w:rsidP="00167E9F">
            <w:pPr>
              <w:pStyle w:val="Prrafodelista"/>
              <w:suppressAutoHyphens w:val="0"/>
              <w:autoSpaceDN/>
              <w:ind w:left="0"/>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 </w:t>
            </w:r>
            <w:r w:rsidR="002078B8">
              <w:rPr>
                <w:rFonts w:asciiTheme="minorHAnsi" w:hAnsiTheme="minorHAnsi" w:cstheme="minorHAnsi"/>
                <w:sz w:val="16"/>
                <w:szCs w:val="16"/>
                <w:lang w:val="es-CO" w:eastAsia="es-CO"/>
              </w:rPr>
              <w:t>E</w:t>
            </w:r>
            <w:r w:rsidR="008A7BDF">
              <w:rPr>
                <w:rFonts w:asciiTheme="minorHAnsi" w:hAnsiTheme="minorHAnsi" w:cstheme="minorHAnsi"/>
                <w:sz w:val="16"/>
                <w:szCs w:val="16"/>
                <w:lang w:val="es-CO" w:eastAsia="es-CO"/>
              </w:rPr>
              <w:t>n los comprobantes de</w:t>
            </w:r>
            <w:r w:rsidR="002078B8">
              <w:rPr>
                <w:rFonts w:asciiTheme="minorHAnsi" w:hAnsiTheme="minorHAnsi" w:cstheme="minorHAnsi"/>
                <w:sz w:val="16"/>
                <w:szCs w:val="16"/>
                <w:lang w:val="es-CO" w:eastAsia="es-CO"/>
              </w:rPr>
              <w:t xml:space="preserve"> caja No.</w:t>
            </w:r>
            <w:r w:rsidR="00F66F1F">
              <w:rPr>
                <w:rFonts w:asciiTheme="minorHAnsi" w:hAnsiTheme="minorHAnsi" w:cstheme="minorHAnsi"/>
                <w:sz w:val="16"/>
                <w:szCs w:val="16"/>
                <w:lang w:val="es-CO" w:eastAsia="es-CO"/>
              </w:rPr>
              <w:t xml:space="preserve"> 1,</w:t>
            </w:r>
            <w:r w:rsidR="008A7BDF">
              <w:rPr>
                <w:rFonts w:asciiTheme="minorHAnsi" w:hAnsiTheme="minorHAnsi" w:cstheme="minorHAnsi"/>
                <w:sz w:val="16"/>
                <w:szCs w:val="16"/>
                <w:lang w:val="es-CO" w:eastAsia="es-CO"/>
              </w:rPr>
              <w:t xml:space="preserve"> 2</w:t>
            </w:r>
            <w:r w:rsidR="00F66F1F">
              <w:rPr>
                <w:rFonts w:asciiTheme="minorHAnsi" w:hAnsiTheme="minorHAnsi" w:cstheme="minorHAnsi"/>
                <w:sz w:val="16"/>
                <w:szCs w:val="16"/>
                <w:lang w:val="es-CO" w:eastAsia="es-CO"/>
              </w:rPr>
              <w:t xml:space="preserve"> y 3</w:t>
            </w:r>
            <w:r w:rsidR="002078B8">
              <w:rPr>
                <w:rFonts w:asciiTheme="minorHAnsi" w:hAnsiTheme="minorHAnsi" w:cstheme="minorHAnsi"/>
                <w:sz w:val="16"/>
                <w:szCs w:val="16"/>
                <w:lang w:val="es-CO" w:eastAsia="es-CO"/>
              </w:rPr>
              <w:t xml:space="preserve"> no se registró la fecha</w:t>
            </w:r>
            <w:r w:rsidR="00FA775C">
              <w:rPr>
                <w:rFonts w:asciiTheme="minorHAnsi" w:hAnsiTheme="minorHAnsi" w:cstheme="minorHAnsi"/>
                <w:sz w:val="16"/>
                <w:szCs w:val="16"/>
                <w:lang w:val="es-CO" w:eastAsia="es-CO"/>
              </w:rPr>
              <w:t xml:space="preserve"> y no</w:t>
            </w:r>
            <w:r w:rsidR="00506E01">
              <w:rPr>
                <w:rFonts w:asciiTheme="minorHAnsi" w:hAnsiTheme="minorHAnsi" w:cstheme="minorHAnsi"/>
                <w:sz w:val="16"/>
                <w:szCs w:val="16"/>
                <w:lang w:val="es-CO" w:eastAsia="es-CO"/>
              </w:rPr>
              <w:t xml:space="preserve"> se </w:t>
            </w:r>
            <w:r w:rsidR="00FA775C">
              <w:rPr>
                <w:rFonts w:asciiTheme="minorHAnsi" w:hAnsiTheme="minorHAnsi" w:cstheme="minorHAnsi"/>
                <w:sz w:val="16"/>
                <w:szCs w:val="16"/>
                <w:lang w:val="es-CO" w:eastAsia="es-CO"/>
              </w:rPr>
              <w:t>encuentran firmados por el ordenador.</w:t>
            </w:r>
          </w:p>
          <w:p w14:paraId="5197E0D5" w14:textId="77777777" w:rsidR="009C5BF1" w:rsidRDefault="009C5BF1" w:rsidP="00620CEE">
            <w:pPr>
              <w:pStyle w:val="Prrafodelista"/>
              <w:suppressAutoHyphens w:val="0"/>
              <w:autoSpaceDN/>
              <w:ind w:left="215"/>
              <w:textAlignment w:val="auto"/>
              <w:rPr>
                <w:rFonts w:asciiTheme="minorHAnsi" w:hAnsiTheme="minorHAnsi" w:cstheme="minorHAnsi"/>
                <w:sz w:val="16"/>
                <w:szCs w:val="16"/>
                <w:lang w:val="es-CO" w:eastAsia="es-CO"/>
              </w:rPr>
            </w:pPr>
          </w:p>
          <w:p w14:paraId="3008FE2B" w14:textId="48315A6F" w:rsidR="002078B8" w:rsidRDefault="003C7E03" w:rsidP="000B0F0A">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Así mismo</w:t>
            </w:r>
            <w:r w:rsidR="00F66F1F">
              <w:rPr>
                <w:rFonts w:asciiTheme="minorHAnsi" w:hAnsiTheme="minorHAnsi" w:cstheme="minorHAnsi"/>
                <w:sz w:val="16"/>
                <w:szCs w:val="16"/>
                <w:lang w:val="es-CO" w:eastAsia="es-CO"/>
              </w:rPr>
              <w:t>, n</w:t>
            </w:r>
            <w:r w:rsidR="009C5BF1">
              <w:rPr>
                <w:rFonts w:asciiTheme="minorHAnsi" w:hAnsiTheme="minorHAnsi" w:cstheme="minorHAnsi"/>
                <w:sz w:val="16"/>
                <w:szCs w:val="16"/>
                <w:lang w:val="es-CO" w:eastAsia="es-CO"/>
              </w:rPr>
              <w:t xml:space="preserve">o se evidenció </w:t>
            </w:r>
            <w:r w:rsidR="00F66F1F">
              <w:rPr>
                <w:rFonts w:asciiTheme="minorHAnsi" w:hAnsiTheme="minorHAnsi" w:cstheme="minorHAnsi"/>
                <w:sz w:val="16"/>
                <w:szCs w:val="16"/>
                <w:lang w:val="es-CO" w:eastAsia="es-CO"/>
              </w:rPr>
              <w:t xml:space="preserve">registro </w:t>
            </w:r>
            <w:r w:rsidR="00F66F1F" w:rsidRPr="002078B8">
              <w:rPr>
                <w:rFonts w:asciiTheme="minorHAnsi" w:hAnsiTheme="minorHAnsi" w:cstheme="minorHAnsi"/>
                <w:sz w:val="16"/>
                <w:szCs w:val="16"/>
                <w:lang w:val="es-CO" w:eastAsia="es-CO"/>
              </w:rPr>
              <w:t>de</w:t>
            </w:r>
            <w:r w:rsidR="002078B8" w:rsidRPr="002078B8">
              <w:rPr>
                <w:rFonts w:asciiTheme="minorHAnsi" w:hAnsiTheme="minorHAnsi" w:cstheme="minorHAnsi"/>
                <w:sz w:val="16"/>
                <w:szCs w:val="16"/>
                <w:lang w:val="es-CO" w:eastAsia="es-CO"/>
              </w:rPr>
              <w:t xml:space="preserve"> trazabilidad de la </w:t>
            </w:r>
            <w:r>
              <w:rPr>
                <w:rFonts w:asciiTheme="minorHAnsi" w:hAnsiTheme="minorHAnsi" w:cstheme="minorHAnsi"/>
                <w:sz w:val="16"/>
                <w:szCs w:val="16"/>
                <w:lang w:val="es-CO" w:eastAsia="es-CO"/>
              </w:rPr>
              <w:t>remisión</w:t>
            </w:r>
            <w:r w:rsidR="002078B8" w:rsidRPr="002078B8">
              <w:rPr>
                <w:rFonts w:asciiTheme="minorHAnsi" w:hAnsiTheme="minorHAnsi" w:cstheme="minorHAnsi"/>
                <w:sz w:val="16"/>
                <w:szCs w:val="16"/>
                <w:lang w:val="es-CO" w:eastAsia="es-CO"/>
              </w:rPr>
              <w:t xml:space="preserve"> del reembolso de</w:t>
            </w:r>
            <w:r w:rsidR="00EB46F3">
              <w:rPr>
                <w:rFonts w:asciiTheme="minorHAnsi" w:hAnsiTheme="minorHAnsi" w:cstheme="minorHAnsi"/>
                <w:sz w:val="16"/>
                <w:szCs w:val="16"/>
                <w:lang w:val="es-CO" w:eastAsia="es-CO"/>
              </w:rPr>
              <w:t xml:space="preserve"> la caja menor al área </w:t>
            </w:r>
            <w:r w:rsidR="009C5BF1">
              <w:rPr>
                <w:rFonts w:asciiTheme="minorHAnsi" w:hAnsiTheme="minorHAnsi" w:cstheme="minorHAnsi"/>
                <w:sz w:val="16"/>
                <w:szCs w:val="16"/>
                <w:lang w:val="es-CO" w:eastAsia="es-CO"/>
              </w:rPr>
              <w:t>contable</w:t>
            </w:r>
            <w:r w:rsidR="00D64D22">
              <w:rPr>
                <w:rFonts w:asciiTheme="minorHAnsi" w:hAnsiTheme="minorHAnsi" w:cstheme="minorHAnsi"/>
                <w:sz w:val="16"/>
                <w:szCs w:val="16"/>
                <w:lang w:val="es-CO" w:eastAsia="es-CO"/>
              </w:rPr>
              <w:t xml:space="preserve">, </w:t>
            </w:r>
            <w:r w:rsidR="00543DE6">
              <w:rPr>
                <w:rFonts w:asciiTheme="minorHAnsi" w:hAnsiTheme="minorHAnsi" w:cstheme="minorHAnsi"/>
                <w:sz w:val="16"/>
                <w:szCs w:val="16"/>
                <w:lang w:val="es-CO" w:eastAsia="es-CO"/>
              </w:rPr>
              <w:t xml:space="preserve">como se solicita en el </w:t>
            </w:r>
            <w:r w:rsidR="00EC3F02">
              <w:rPr>
                <w:rFonts w:asciiTheme="minorHAnsi" w:hAnsiTheme="minorHAnsi" w:cstheme="minorHAnsi"/>
                <w:sz w:val="16"/>
                <w:szCs w:val="16"/>
                <w:lang w:val="es-CO" w:eastAsia="es-CO"/>
              </w:rPr>
              <w:t>PSC.</w:t>
            </w:r>
          </w:p>
          <w:p w14:paraId="78C83A7C" w14:textId="5825FB48" w:rsidR="007662F5" w:rsidRDefault="007662F5" w:rsidP="000B0F0A">
            <w:pPr>
              <w:suppressAutoHyphens w:val="0"/>
              <w:autoSpaceDN/>
              <w:textAlignment w:val="auto"/>
              <w:rPr>
                <w:rFonts w:asciiTheme="minorHAnsi" w:hAnsiTheme="minorHAnsi" w:cstheme="minorHAnsi"/>
                <w:sz w:val="16"/>
                <w:szCs w:val="16"/>
                <w:lang w:val="es-CO" w:eastAsia="es-CO"/>
              </w:rPr>
            </w:pPr>
          </w:p>
          <w:p w14:paraId="4425EF51" w14:textId="28673788" w:rsidR="00AE67B6" w:rsidRDefault="00AE67B6" w:rsidP="000B0F0A">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De otra parte, u</w:t>
            </w:r>
            <w:r w:rsidRPr="00AE67B6">
              <w:rPr>
                <w:rFonts w:asciiTheme="minorHAnsi" w:hAnsiTheme="minorHAnsi" w:cstheme="minorHAnsi"/>
                <w:sz w:val="16"/>
                <w:szCs w:val="16"/>
                <w:lang w:val="es-CO" w:eastAsia="es-CO"/>
              </w:rPr>
              <w:t>na vez revisada la información suministrada por SAF, se verifica la e</w:t>
            </w:r>
            <w:r>
              <w:rPr>
                <w:rFonts w:asciiTheme="minorHAnsi" w:hAnsiTheme="minorHAnsi" w:cstheme="minorHAnsi"/>
                <w:sz w:val="16"/>
                <w:szCs w:val="16"/>
                <w:lang w:val="es-CO" w:eastAsia="es-CO"/>
              </w:rPr>
              <w:t>jecución de la actividad del PSC.</w:t>
            </w:r>
          </w:p>
          <w:p w14:paraId="7F86D4C1" w14:textId="46C90B2E" w:rsidR="00AE67B6" w:rsidRDefault="00AE67B6" w:rsidP="000B0F0A">
            <w:pPr>
              <w:suppressAutoHyphens w:val="0"/>
              <w:autoSpaceDN/>
              <w:textAlignment w:val="auto"/>
              <w:rPr>
                <w:rFonts w:asciiTheme="minorHAnsi" w:hAnsiTheme="minorHAnsi" w:cstheme="minorHAnsi"/>
                <w:sz w:val="16"/>
                <w:szCs w:val="16"/>
                <w:lang w:val="es-CO" w:eastAsia="es-CO"/>
              </w:rPr>
            </w:pPr>
          </w:p>
          <w:p w14:paraId="29BEC1BF" w14:textId="6422E4C9" w:rsidR="006568B0" w:rsidRDefault="006568B0" w:rsidP="000B0F0A">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Revisada la legalización de la Caja Menor de LA SAF, se observó lo siguiente:</w:t>
            </w:r>
          </w:p>
          <w:p w14:paraId="74F2E82B" w14:textId="6ACEB3DC" w:rsidR="006568B0" w:rsidRPr="006568B0" w:rsidRDefault="00167E9F" w:rsidP="00167E9F">
            <w:pPr>
              <w:pStyle w:val="Prrafodelista"/>
              <w:suppressAutoHyphens w:val="0"/>
              <w:autoSpaceDN/>
              <w:ind w:left="0"/>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 </w:t>
            </w:r>
            <w:r w:rsidR="006568B0" w:rsidRPr="006568B0">
              <w:rPr>
                <w:rFonts w:asciiTheme="minorHAnsi" w:hAnsiTheme="minorHAnsi" w:cstheme="minorHAnsi"/>
                <w:sz w:val="16"/>
                <w:szCs w:val="16"/>
                <w:lang w:val="es-CO" w:eastAsia="es-CO"/>
              </w:rPr>
              <w:t>Cumplimiento de la trazabilidad frente al envío de la información</w:t>
            </w:r>
          </w:p>
          <w:p w14:paraId="42C55433" w14:textId="262A7B5B" w:rsidR="006568B0" w:rsidRDefault="00167E9F" w:rsidP="00167E9F">
            <w:pPr>
              <w:pStyle w:val="Prrafodelista"/>
              <w:suppressAutoHyphens w:val="0"/>
              <w:autoSpaceDN/>
              <w:ind w:left="0"/>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 </w:t>
            </w:r>
            <w:r w:rsidR="006568B0" w:rsidRPr="006568B0">
              <w:rPr>
                <w:rFonts w:asciiTheme="minorHAnsi" w:hAnsiTheme="minorHAnsi" w:cstheme="minorHAnsi"/>
                <w:sz w:val="16"/>
                <w:szCs w:val="16"/>
                <w:lang w:val="es-CO" w:eastAsia="es-CO"/>
              </w:rPr>
              <w:t>Los documentos aportados presentan las firmas del responsable de la Caja Menor y del ordenador</w:t>
            </w:r>
          </w:p>
          <w:p w14:paraId="1E169999" w14:textId="74B82CA2" w:rsidR="00C22C5C" w:rsidRPr="006568B0" w:rsidRDefault="00167E9F" w:rsidP="00167E9F">
            <w:pPr>
              <w:pStyle w:val="Prrafodelista"/>
              <w:suppressAutoHyphens w:val="0"/>
              <w:autoSpaceDN/>
              <w:ind w:left="0"/>
              <w:textAlignment w:val="auto"/>
              <w:rPr>
                <w:rFonts w:asciiTheme="minorHAnsi" w:hAnsiTheme="minorHAnsi" w:cstheme="minorHAnsi"/>
                <w:sz w:val="16"/>
                <w:szCs w:val="16"/>
                <w:lang w:val="es-CO" w:eastAsia="es-CO"/>
              </w:rPr>
            </w:pPr>
            <w:r w:rsidRPr="002466B7">
              <w:rPr>
                <w:rFonts w:asciiTheme="minorHAnsi" w:hAnsiTheme="minorHAnsi" w:cstheme="minorHAnsi"/>
                <w:sz w:val="16"/>
                <w:szCs w:val="16"/>
                <w:lang w:val="es-CO" w:eastAsia="es-CO"/>
              </w:rPr>
              <w:t>•</w:t>
            </w:r>
            <w:r w:rsidR="002466B7" w:rsidRPr="002466B7">
              <w:rPr>
                <w:rFonts w:asciiTheme="minorHAnsi" w:hAnsiTheme="minorHAnsi" w:cstheme="minorHAnsi"/>
                <w:sz w:val="16"/>
                <w:szCs w:val="16"/>
                <w:lang w:val="es-CO" w:eastAsia="es-CO"/>
              </w:rPr>
              <w:t>En</w:t>
            </w:r>
            <w:r w:rsidRPr="002466B7">
              <w:rPr>
                <w:rFonts w:asciiTheme="minorHAnsi" w:hAnsiTheme="minorHAnsi" w:cstheme="minorHAnsi"/>
                <w:sz w:val="16"/>
                <w:szCs w:val="16"/>
                <w:lang w:val="es-CO" w:eastAsia="es-CO"/>
              </w:rPr>
              <w:t xml:space="preserve"> </w:t>
            </w:r>
            <w:r w:rsidR="006568B0" w:rsidRPr="002466B7">
              <w:rPr>
                <w:rFonts w:asciiTheme="minorHAnsi" w:hAnsiTheme="minorHAnsi" w:cstheme="minorHAnsi"/>
                <w:sz w:val="16"/>
                <w:szCs w:val="16"/>
                <w:lang w:val="es-CO" w:eastAsia="es-CO"/>
              </w:rPr>
              <w:t xml:space="preserve">La </w:t>
            </w:r>
            <w:r w:rsidR="002466B7" w:rsidRPr="002466B7">
              <w:rPr>
                <w:rFonts w:asciiTheme="minorHAnsi" w:hAnsiTheme="minorHAnsi" w:cstheme="minorHAnsi"/>
                <w:sz w:val="16"/>
                <w:szCs w:val="16"/>
                <w:lang w:val="es-CO" w:eastAsia="es-CO"/>
              </w:rPr>
              <w:t>adquisición que</w:t>
            </w:r>
            <w:r w:rsidR="006568B0" w:rsidRPr="002466B7">
              <w:rPr>
                <w:rFonts w:asciiTheme="minorHAnsi" w:hAnsiTheme="minorHAnsi" w:cstheme="minorHAnsi"/>
                <w:sz w:val="16"/>
                <w:szCs w:val="16"/>
                <w:lang w:val="es-CO" w:eastAsia="es-CO"/>
              </w:rPr>
              <w:t xml:space="preserve"> se realizó el 18 de marzo de 2020 con tarjeta de cr</w:t>
            </w:r>
            <w:r w:rsidR="00FF6B2D">
              <w:rPr>
                <w:rFonts w:asciiTheme="minorHAnsi" w:hAnsiTheme="minorHAnsi" w:cstheme="minorHAnsi"/>
                <w:sz w:val="16"/>
                <w:szCs w:val="16"/>
                <w:lang w:val="es-CO" w:eastAsia="es-CO"/>
              </w:rPr>
              <w:t>édito ‘</w:t>
            </w:r>
            <w:proofErr w:type="gramStart"/>
            <w:r w:rsidR="00FF6B2D">
              <w:rPr>
                <w:rFonts w:asciiTheme="minorHAnsi" w:hAnsiTheme="minorHAnsi" w:cstheme="minorHAnsi"/>
                <w:sz w:val="16"/>
                <w:szCs w:val="16"/>
                <w:lang w:val="es-CO" w:eastAsia="es-CO"/>
              </w:rPr>
              <w:t>Exitosa‘</w:t>
            </w:r>
            <w:proofErr w:type="gramEnd"/>
            <w:r w:rsidR="00C22C5C" w:rsidRPr="002466B7">
              <w:rPr>
                <w:rFonts w:asciiTheme="minorHAnsi" w:hAnsiTheme="minorHAnsi" w:cstheme="minorHAnsi"/>
                <w:sz w:val="16"/>
                <w:szCs w:val="16"/>
                <w:lang w:val="es-CO" w:eastAsia="es-CO"/>
              </w:rPr>
              <w:t>, no se evidencia el soporte con un documento válido (factura).</w:t>
            </w:r>
            <w:r w:rsidR="0014742E">
              <w:rPr>
                <w:rFonts w:asciiTheme="minorHAnsi" w:hAnsiTheme="minorHAnsi" w:cstheme="minorHAnsi"/>
                <w:sz w:val="16"/>
                <w:szCs w:val="16"/>
                <w:lang w:val="es-CO" w:eastAsia="es-CO"/>
              </w:rPr>
              <w:t xml:space="preserve"> </w:t>
            </w:r>
            <w:r w:rsidR="00C22C5C" w:rsidRPr="002466B7">
              <w:rPr>
                <w:rFonts w:asciiTheme="minorHAnsi" w:hAnsiTheme="minorHAnsi" w:cstheme="minorHAnsi"/>
                <w:sz w:val="16"/>
                <w:szCs w:val="16"/>
                <w:lang w:val="es-CO" w:eastAsia="es-CO"/>
              </w:rPr>
              <w:t>El pago del reembolso se realizó</w:t>
            </w:r>
            <w:r w:rsidR="00FF6B2D">
              <w:rPr>
                <w:rFonts w:asciiTheme="minorHAnsi" w:hAnsiTheme="minorHAnsi" w:cstheme="minorHAnsi"/>
                <w:sz w:val="16"/>
                <w:szCs w:val="16"/>
                <w:lang w:val="es-CO" w:eastAsia="es-CO"/>
              </w:rPr>
              <w:t xml:space="preserve"> a un </w:t>
            </w:r>
            <w:r w:rsidR="00C22C5C">
              <w:rPr>
                <w:rFonts w:asciiTheme="minorHAnsi" w:hAnsiTheme="minorHAnsi" w:cstheme="minorHAnsi"/>
                <w:sz w:val="16"/>
                <w:szCs w:val="16"/>
                <w:lang w:val="es-CO" w:eastAsia="es-CO"/>
              </w:rPr>
              <w:t>Profesional especializ</w:t>
            </w:r>
            <w:r w:rsidR="00FF6B2D">
              <w:rPr>
                <w:rFonts w:asciiTheme="minorHAnsi" w:hAnsiTheme="minorHAnsi" w:cstheme="minorHAnsi"/>
                <w:sz w:val="16"/>
                <w:szCs w:val="16"/>
                <w:lang w:val="es-CO" w:eastAsia="es-CO"/>
              </w:rPr>
              <w:t>ado 222-07.</w:t>
            </w:r>
          </w:p>
          <w:p w14:paraId="29AFD9D3" w14:textId="4DF3C30C" w:rsidR="006568B0" w:rsidRDefault="006568B0" w:rsidP="000B0F0A">
            <w:pPr>
              <w:suppressAutoHyphens w:val="0"/>
              <w:autoSpaceDN/>
              <w:textAlignment w:val="auto"/>
              <w:rPr>
                <w:rFonts w:asciiTheme="minorHAnsi" w:hAnsiTheme="minorHAnsi" w:cstheme="minorHAnsi"/>
                <w:sz w:val="16"/>
                <w:szCs w:val="16"/>
                <w:lang w:val="es-CO" w:eastAsia="es-CO"/>
              </w:rPr>
            </w:pPr>
          </w:p>
          <w:p w14:paraId="1B8E8C09" w14:textId="562AE43C" w:rsidR="00620CEE" w:rsidRDefault="00620CEE" w:rsidP="000B0F0A">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Para ninguna de las dos cajas menores constituidas en el IDRD, el documento de reintegro Caja Menor, presenta el número de identificación (NIT o CC) de los beneficiarios de los pagos.</w:t>
            </w:r>
          </w:p>
          <w:p w14:paraId="0BFB0B50" w14:textId="77777777" w:rsidR="00AE67B6" w:rsidRDefault="00AE67B6" w:rsidP="000B0F0A">
            <w:pPr>
              <w:suppressAutoHyphens w:val="0"/>
              <w:autoSpaceDN/>
              <w:textAlignment w:val="auto"/>
              <w:rPr>
                <w:rFonts w:asciiTheme="minorHAnsi" w:hAnsiTheme="minorHAnsi" w:cstheme="minorHAnsi"/>
                <w:sz w:val="16"/>
                <w:szCs w:val="16"/>
                <w:lang w:val="es-CO" w:eastAsia="es-CO"/>
              </w:rPr>
            </w:pPr>
          </w:p>
          <w:p w14:paraId="33F3EDE4" w14:textId="77777777" w:rsidR="002B6672" w:rsidRPr="002B6672" w:rsidRDefault="002B6672" w:rsidP="000B0F0A">
            <w:pPr>
              <w:suppressAutoHyphens w:val="0"/>
              <w:autoSpaceDN/>
              <w:textAlignment w:val="auto"/>
              <w:rPr>
                <w:rFonts w:asciiTheme="minorHAnsi" w:hAnsiTheme="minorHAnsi" w:cstheme="minorHAnsi"/>
                <w:b/>
                <w:sz w:val="16"/>
                <w:szCs w:val="16"/>
                <w:lang w:val="es-CO" w:eastAsia="es-CO"/>
              </w:rPr>
            </w:pPr>
            <w:r w:rsidRPr="002B6672">
              <w:rPr>
                <w:rFonts w:asciiTheme="minorHAnsi" w:hAnsiTheme="minorHAnsi" w:cstheme="minorHAnsi"/>
                <w:b/>
                <w:sz w:val="16"/>
                <w:szCs w:val="16"/>
                <w:lang w:val="es-CO" w:eastAsia="es-CO"/>
              </w:rPr>
              <w:t>REMISION DEL REPORTE Y SOPORTES DEL REEMBOLSO 2021.</w:t>
            </w:r>
          </w:p>
          <w:p w14:paraId="56D253A5" w14:textId="77777777" w:rsidR="002B6672" w:rsidRDefault="002B6672" w:rsidP="000B0F0A">
            <w:pPr>
              <w:suppressAutoHyphens w:val="0"/>
              <w:autoSpaceDN/>
              <w:textAlignment w:val="auto"/>
              <w:rPr>
                <w:rFonts w:asciiTheme="minorHAnsi" w:hAnsiTheme="minorHAnsi" w:cstheme="minorHAnsi"/>
                <w:sz w:val="16"/>
                <w:szCs w:val="16"/>
                <w:lang w:val="es-CO" w:eastAsia="es-CO"/>
              </w:rPr>
            </w:pPr>
          </w:p>
          <w:p w14:paraId="2E5EE5AF" w14:textId="7A252879" w:rsidR="002B6672" w:rsidRPr="00336F2B" w:rsidRDefault="000A04EE" w:rsidP="000B0F0A">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No se tramitaron reembolsos en la vigencia 2021</w:t>
            </w:r>
          </w:p>
        </w:tc>
      </w:tr>
      <w:tr w:rsidR="002A5943" w:rsidRPr="000B0F0A" w14:paraId="26FE521A" w14:textId="77777777" w:rsidTr="002B0B25">
        <w:trPr>
          <w:trHeight w:val="2124"/>
        </w:trPr>
        <w:tc>
          <w:tcPr>
            <w:tcW w:w="317" w:type="dxa"/>
            <w:vMerge/>
            <w:tcBorders>
              <w:top w:val="nil"/>
              <w:left w:val="single" w:sz="4" w:space="0" w:color="auto"/>
              <w:bottom w:val="single" w:sz="4" w:space="0" w:color="000000"/>
              <w:right w:val="single" w:sz="4" w:space="0" w:color="auto"/>
            </w:tcBorders>
            <w:vAlign w:val="center"/>
            <w:hideMark/>
          </w:tcPr>
          <w:p w14:paraId="15C4FE6D" w14:textId="77777777" w:rsidR="002A5943" w:rsidRPr="000B0F0A" w:rsidRDefault="002A5943" w:rsidP="000B0F0A">
            <w:pPr>
              <w:suppressAutoHyphens w:val="0"/>
              <w:autoSpaceDN/>
              <w:jc w:val="left"/>
              <w:textAlignment w:val="auto"/>
              <w:rPr>
                <w:rFonts w:asciiTheme="minorHAnsi" w:hAnsiTheme="minorHAnsi" w:cstheme="minorHAnsi"/>
                <w:sz w:val="16"/>
                <w:szCs w:val="16"/>
                <w:lang w:val="es-CO" w:eastAsia="es-CO"/>
              </w:rPr>
            </w:pPr>
          </w:p>
        </w:tc>
        <w:tc>
          <w:tcPr>
            <w:tcW w:w="954" w:type="dxa"/>
            <w:vMerge/>
            <w:tcBorders>
              <w:top w:val="nil"/>
              <w:left w:val="single" w:sz="4" w:space="0" w:color="auto"/>
              <w:bottom w:val="single" w:sz="4" w:space="0" w:color="000000"/>
              <w:right w:val="single" w:sz="4" w:space="0" w:color="auto"/>
            </w:tcBorders>
            <w:vAlign w:val="center"/>
            <w:hideMark/>
          </w:tcPr>
          <w:p w14:paraId="416160E8" w14:textId="77777777" w:rsidR="002A5943" w:rsidRPr="000B0F0A" w:rsidRDefault="002A5943" w:rsidP="000B0F0A">
            <w:pPr>
              <w:suppressAutoHyphens w:val="0"/>
              <w:autoSpaceDN/>
              <w:jc w:val="left"/>
              <w:textAlignment w:val="auto"/>
              <w:rPr>
                <w:rFonts w:asciiTheme="minorHAnsi" w:hAnsiTheme="minorHAnsi" w:cstheme="minorHAnsi"/>
                <w:sz w:val="16"/>
                <w:szCs w:val="16"/>
                <w:lang w:val="es-CO" w:eastAsia="es-CO"/>
              </w:rPr>
            </w:pPr>
          </w:p>
        </w:tc>
        <w:tc>
          <w:tcPr>
            <w:tcW w:w="3969" w:type="dxa"/>
            <w:vMerge/>
            <w:tcBorders>
              <w:top w:val="nil"/>
              <w:left w:val="single" w:sz="4" w:space="0" w:color="auto"/>
              <w:bottom w:val="single" w:sz="4" w:space="0" w:color="000000"/>
              <w:right w:val="single" w:sz="4" w:space="0" w:color="auto"/>
            </w:tcBorders>
            <w:vAlign w:val="center"/>
            <w:hideMark/>
          </w:tcPr>
          <w:p w14:paraId="4FCF7ECB" w14:textId="77777777" w:rsidR="002A5943" w:rsidRPr="000B0F0A" w:rsidRDefault="002A5943" w:rsidP="000B0F0A">
            <w:pPr>
              <w:suppressAutoHyphens w:val="0"/>
              <w:autoSpaceDN/>
              <w:jc w:val="left"/>
              <w:textAlignment w:val="auto"/>
              <w:rPr>
                <w:rFonts w:asciiTheme="minorHAnsi" w:hAnsiTheme="minorHAnsi" w:cstheme="minorHAnsi"/>
                <w:sz w:val="16"/>
                <w:szCs w:val="16"/>
                <w:lang w:val="es-CO" w:eastAsia="es-CO"/>
              </w:rPr>
            </w:pPr>
          </w:p>
        </w:tc>
        <w:tc>
          <w:tcPr>
            <w:tcW w:w="3544" w:type="dxa"/>
            <w:vMerge/>
            <w:tcBorders>
              <w:top w:val="nil"/>
              <w:left w:val="single" w:sz="4" w:space="0" w:color="auto"/>
              <w:bottom w:val="single" w:sz="4" w:space="0" w:color="000000"/>
              <w:right w:val="single" w:sz="4" w:space="0" w:color="auto"/>
            </w:tcBorders>
            <w:vAlign w:val="center"/>
            <w:hideMark/>
          </w:tcPr>
          <w:p w14:paraId="66401BC5" w14:textId="77777777" w:rsidR="002A5943" w:rsidRPr="000B0F0A" w:rsidRDefault="002A5943" w:rsidP="000B0F0A">
            <w:pPr>
              <w:suppressAutoHyphens w:val="0"/>
              <w:autoSpaceDN/>
              <w:jc w:val="left"/>
              <w:textAlignment w:val="auto"/>
              <w:rPr>
                <w:rFonts w:asciiTheme="minorHAnsi" w:hAnsiTheme="minorHAnsi" w:cstheme="minorHAnsi"/>
                <w:color w:val="000000"/>
                <w:sz w:val="16"/>
                <w:szCs w:val="16"/>
                <w:lang w:val="es-CO" w:eastAsia="es-CO"/>
              </w:rPr>
            </w:pPr>
          </w:p>
        </w:tc>
        <w:tc>
          <w:tcPr>
            <w:tcW w:w="1276" w:type="dxa"/>
            <w:tcBorders>
              <w:top w:val="nil"/>
              <w:left w:val="nil"/>
              <w:bottom w:val="single" w:sz="4" w:space="0" w:color="auto"/>
              <w:right w:val="single" w:sz="4" w:space="0" w:color="auto"/>
            </w:tcBorders>
            <w:shd w:val="clear" w:color="auto" w:fill="auto"/>
            <w:vAlign w:val="center"/>
            <w:hideMark/>
          </w:tcPr>
          <w:p w14:paraId="44762F3B" w14:textId="0E8FEC1D" w:rsidR="002A5943" w:rsidRPr="000B0F0A" w:rsidRDefault="002A5943" w:rsidP="000B0F0A">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SAF (</w:t>
            </w:r>
            <w:r w:rsidRPr="000B0F0A">
              <w:rPr>
                <w:rFonts w:asciiTheme="minorHAnsi" w:hAnsiTheme="minorHAnsi" w:cstheme="minorHAnsi"/>
                <w:sz w:val="16"/>
                <w:szCs w:val="16"/>
                <w:lang w:val="es-CO" w:eastAsia="es-CO"/>
              </w:rPr>
              <w:t>Oficina de Apoyo Corporativo)</w:t>
            </w:r>
          </w:p>
        </w:tc>
        <w:tc>
          <w:tcPr>
            <w:tcW w:w="1984" w:type="dxa"/>
            <w:vMerge/>
            <w:tcBorders>
              <w:top w:val="nil"/>
              <w:left w:val="single" w:sz="4" w:space="0" w:color="auto"/>
              <w:bottom w:val="single" w:sz="4" w:space="0" w:color="000000"/>
              <w:right w:val="single" w:sz="4" w:space="0" w:color="auto"/>
            </w:tcBorders>
            <w:vAlign w:val="center"/>
            <w:hideMark/>
          </w:tcPr>
          <w:p w14:paraId="04FEBC09" w14:textId="77777777" w:rsidR="002A5943" w:rsidRPr="000B0F0A" w:rsidRDefault="002A5943" w:rsidP="000B0F0A">
            <w:pPr>
              <w:suppressAutoHyphens w:val="0"/>
              <w:autoSpaceDN/>
              <w:jc w:val="left"/>
              <w:textAlignment w:val="auto"/>
              <w:rPr>
                <w:rFonts w:asciiTheme="minorHAnsi" w:hAnsiTheme="minorHAnsi" w:cstheme="minorHAnsi"/>
                <w:sz w:val="16"/>
                <w:szCs w:val="16"/>
                <w:lang w:val="es-CO" w:eastAsia="es-CO"/>
              </w:rPr>
            </w:pPr>
          </w:p>
        </w:tc>
        <w:tc>
          <w:tcPr>
            <w:tcW w:w="1559" w:type="dxa"/>
            <w:tcBorders>
              <w:top w:val="single" w:sz="4" w:space="0" w:color="auto"/>
              <w:left w:val="single" w:sz="4" w:space="0" w:color="auto"/>
              <w:bottom w:val="single" w:sz="4" w:space="0" w:color="000000"/>
              <w:right w:val="single" w:sz="4" w:space="0" w:color="auto"/>
            </w:tcBorders>
            <w:vAlign w:val="center"/>
            <w:hideMark/>
          </w:tcPr>
          <w:p w14:paraId="3B805154" w14:textId="7165E7EF" w:rsidR="002A5943" w:rsidRPr="000B0F0A" w:rsidRDefault="00505A29" w:rsidP="00F82628">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20213000124263</w:t>
            </w:r>
          </w:p>
        </w:tc>
        <w:tc>
          <w:tcPr>
            <w:tcW w:w="993" w:type="dxa"/>
            <w:vMerge/>
            <w:tcBorders>
              <w:left w:val="single" w:sz="4" w:space="0" w:color="auto"/>
              <w:bottom w:val="single" w:sz="4" w:space="0" w:color="000000"/>
              <w:right w:val="single" w:sz="4" w:space="0" w:color="auto"/>
            </w:tcBorders>
            <w:shd w:val="clear" w:color="auto" w:fill="FFD966" w:themeFill="accent4" w:themeFillTint="99"/>
            <w:vAlign w:val="center"/>
            <w:hideMark/>
          </w:tcPr>
          <w:p w14:paraId="44BCD5DD" w14:textId="77777777" w:rsidR="002A5943" w:rsidRPr="000B0F0A" w:rsidRDefault="002A5943" w:rsidP="000B0F0A">
            <w:pPr>
              <w:jc w:val="left"/>
              <w:rPr>
                <w:rFonts w:asciiTheme="minorHAnsi" w:hAnsiTheme="minorHAnsi" w:cstheme="minorHAnsi"/>
                <w:sz w:val="16"/>
                <w:szCs w:val="16"/>
                <w:lang w:val="es-CO" w:eastAsia="es-CO"/>
              </w:rPr>
            </w:pPr>
          </w:p>
        </w:tc>
        <w:tc>
          <w:tcPr>
            <w:tcW w:w="4110" w:type="dxa"/>
            <w:tcBorders>
              <w:top w:val="single" w:sz="4" w:space="0" w:color="auto"/>
              <w:left w:val="single" w:sz="4" w:space="0" w:color="auto"/>
              <w:bottom w:val="single" w:sz="4" w:space="0" w:color="000000"/>
              <w:right w:val="single" w:sz="4" w:space="0" w:color="auto"/>
            </w:tcBorders>
            <w:vAlign w:val="center"/>
            <w:hideMark/>
          </w:tcPr>
          <w:p w14:paraId="780214AF" w14:textId="6E422070" w:rsidR="002A5943" w:rsidRPr="007E0E17" w:rsidRDefault="002A5943" w:rsidP="007E0E17">
            <w:pPr>
              <w:rPr>
                <w:rFonts w:asciiTheme="minorHAnsi" w:hAnsiTheme="minorHAnsi" w:cstheme="minorHAnsi"/>
                <w:sz w:val="16"/>
                <w:szCs w:val="16"/>
                <w:lang w:val="es-CO" w:eastAsia="es-CO"/>
              </w:rPr>
            </w:pPr>
            <w:r w:rsidRPr="007E0E17">
              <w:rPr>
                <w:rFonts w:asciiTheme="minorHAnsi" w:hAnsiTheme="minorHAnsi" w:cstheme="minorHAnsi"/>
                <w:sz w:val="16"/>
                <w:szCs w:val="16"/>
                <w:lang w:val="es-CO" w:eastAsia="es-CO"/>
              </w:rPr>
              <w:t>La SAF remite los siguientes documentos:</w:t>
            </w:r>
          </w:p>
          <w:p w14:paraId="25992615" w14:textId="17D1E31C" w:rsidR="002A5943" w:rsidRPr="007662F5" w:rsidRDefault="007662F5" w:rsidP="007E0E17">
            <w:pPr>
              <w:rPr>
                <w:rFonts w:asciiTheme="minorHAnsi" w:hAnsiTheme="minorHAnsi" w:cstheme="minorHAnsi"/>
                <w:i/>
                <w:sz w:val="16"/>
                <w:szCs w:val="16"/>
                <w:lang w:val="es-CO" w:eastAsia="es-CO"/>
              </w:rPr>
            </w:pPr>
            <w:r w:rsidRPr="007662F5">
              <w:rPr>
                <w:rFonts w:asciiTheme="minorHAnsi" w:hAnsiTheme="minorHAnsi" w:cstheme="minorHAnsi"/>
                <w:i/>
                <w:sz w:val="16"/>
                <w:szCs w:val="16"/>
                <w:lang w:val="es-CO" w:eastAsia="es-CO"/>
              </w:rPr>
              <w:t>•” Resolución</w:t>
            </w:r>
            <w:r w:rsidR="002A5943" w:rsidRPr="007662F5">
              <w:rPr>
                <w:rFonts w:asciiTheme="minorHAnsi" w:hAnsiTheme="minorHAnsi" w:cstheme="minorHAnsi"/>
                <w:i/>
                <w:sz w:val="16"/>
                <w:szCs w:val="16"/>
                <w:lang w:val="es-CO" w:eastAsia="es-CO"/>
              </w:rPr>
              <w:t xml:space="preserve"> No. 111 de febrero 22 de 2021, “Por la cual se constituye y se establece el funcionamiento de la Caja Menor de la Subdirección Administrativa y Financiera del Instituto Distrital de Recreación y Deporte – IDRD para la vigencia 2021, con cargo al presupuesto asignado a la entidad”.</w:t>
            </w:r>
          </w:p>
          <w:p w14:paraId="225F55C3" w14:textId="6FAF943D" w:rsidR="002A5943" w:rsidRPr="007662F5" w:rsidRDefault="002A5943" w:rsidP="007E0E17">
            <w:pPr>
              <w:rPr>
                <w:rFonts w:asciiTheme="minorHAnsi" w:hAnsiTheme="minorHAnsi" w:cstheme="minorHAnsi"/>
                <w:i/>
                <w:sz w:val="16"/>
                <w:szCs w:val="16"/>
                <w:lang w:val="es-CO" w:eastAsia="es-CO"/>
              </w:rPr>
            </w:pPr>
            <w:r w:rsidRPr="007662F5">
              <w:rPr>
                <w:rFonts w:asciiTheme="minorHAnsi" w:hAnsiTheme="minorHAnsi" w:cstheme="minorHAnsi"/>
                <w:i/>
                <w:sz w:val="16"/>
                <w:szCs w:val="16"/>
                <w:lang w:val="es-CO" w:eastAsia="es-CO"/>
              </w:rPr>
              <w:t xml:space="preserve">• Documentos legalización de la caja de diciembre del </w:t>
            </w:r>
            <w:r w:rsidR="007662F5" w:rsidRPr="007662F5">
              <w:rPr>
                <w:rFonts w:asciiTheme="minorHAnsi" w:hAnsiTheme="minorHAnsi" w:cstheme="minorHAnsi"/>
                <w:i/>
                <w:sz w:val="16"/>
                <w:szCs w:val="16"/>
                <w:lang w:val="es-CO" w:eastAsia="es-CO"/>
              </w:rPr>
              <w:t>2020…”</w:t>
            </w:r>
          </w:p>
          <w:p w14:paraId="186E815E" w14:textId="77777777" w:rsidR="002A5943" w:rsidRDefault="002A5943" w:rsidP="007E0E17">
            <w:pPr>
              <w:rPr>
                <w:rFonts w:asciiTheme="minorHAnsi" w:hAnsiTheme="minorHAnsi" w:cstheme="minorHAnsi"/>
                <w:i/>
                <w:sz w:val="16"/>
                <w:szCs w:val="16"/>
                <w:lang w:val="es-CO" w:eastAsia="es-CO"/>
              </w:rPr>
            </w:pPr>
          </w:p>
          <w:p w14:paraId="1B654AAA" w14:textId="6649E5C6" w:rsidR="002A5943" w:rsidRPr="000A04EE" w:rsidRDefault="002A5943" w:rsidP="000A04EE">
            <w:pPr>
              <w:suppressAutoHyphens w:val="0"/>
              <w:autoSpaceDN/>
              <w:textAlignment w:val="auto"/>
              <w:rPr>
                <w:rFonts w:asciiTheme="minorHAnsi" w:hAnsiTheme="minorHAnsi" w:cstheme="minorHAnsi"/>
                <w:i/>
                <w:sz w:val="16"/>
                <w:szCs w:val="16"/>
                <w:lang w:val="es-CO" w:eastAsia="es-CO"/>
              </w:rPr>
            </w:pPr>
            <w:r w:rsidRPr="007E0E17">
              <w:rPr>
                <w:rFonts w:asciiTheme="minorHAnsi" w:hAnsiTheme="minorHAnsi" w:cstheme="minorHAnsi"/>
                <w:sz w:val="16"/>
                <w:szCs w:val="16"/>
                <w:lang w:val="es-CO" w:eastAsia="es-CO"/>
              </w:rPr>
              <w:t>A su vez</w:t>
            </w:r>
            <w:r>
              <w:rPr>
                <w:rFonts w:asciiTheme="minorHAnsi" w:hAnsiTheme="minorHAnsi" w:cstheme="minorHAnsi"/>
                <w:sz w:val="16"/>
                <w:szCs w:val="16"/>
                <w:lang w:val="es-CO" w:eastAsia="es-CO"/>
              </w:rPr>
              <w:t>, la SAF</w:t>
            </w:r>
            <w:r w:rsidRPr="007E0E17">
              <w:rPr>
                <w:rFonts w:asciiTheme="minorHAnsi" w:hAnsiTheme="minorHAnsi" w:cstheme="minorHAnsi"/>
                <w:sz w:val="16"/>
                <w:szCs w:val="16"/>
                <w:lang w:val="es-CO" w:eastAsia="es-CO"/>
              </w:rPr>
              <w:t xml:space="preserve"> informa que</w:t>
            </w:r>
            <w:r>
              <w:rPr>
                <w:rFonts w:asciiTheme="minorHAnsi" w:hAnsiTheme="minorHAnsi" w:cstheme="minorHAnsi"/>
                <w:i/>
                <w:sz w:val="16"/>
                <w:szCs w:val="16"/>
                <w:lang w:val="es-CO" w:eastAsia="es-CO"/>
              </w:rPr>
              <w:t xml:space="preserve"> “</w:t>
            </w:r>
            <w:r w:rsidRPr="007E0E17">
              <w:rPr>
                <w:rFonts w:asciiTheme="minorHAnsi" w:hAnsiTheme="minorHAnsi" w:cstheme="minorHAnsi"/>
                <w:i/>
                <w:sz w:val="16"/>
                <w:szCs w:val="16"/>
                <w:lang w:val="es-CO" w:eastAsia="es-CO"/>
              </w:rPr>
              <w:t>Con respecto al último reembolso realizado en la vigencia 2021, se informa que a la fecha</w:t>
            </w:r>
            <w:r w:rsidR="000A04EE">
              <w:rPr>
                <w:rFonts w:asciiTheme="minorHAnsi" w:hAnsiTheme="minorHAnsi" w:cstheme="minorHAnsi"/>
                <w:i/>
                <w:sz w:val="16"/>
                <w:szCs w:val="16"/>
                <w:lang w:val="es-CO" w:eastAsia="es-CO"/>
              </w:rPr>
              <w:t xml:space="preserve"> </w:t>
            </w:r>
            <w:r w:rsidRPr="007E0E17">
              <w:rPr>
                <w:rFonts w:asciiTheme="minorHAnsi" w:hAnsiTheme="minorHAnsi" w:cstheme="minorHAnsi"/>
                <w:i/>
                <w:sz w:val="16"/>
                <w:szCs w:val="16"/>
                <w:lang w:val="es-CO" w:eastAsia="es-CO"/>
              </w:rPr>
              <w:t>no se ha tramitado ningún reembolso.</w:t>
            </w:r>
            <w:r>
              <w:rPr>
                <w:rFonts w:asciiTheme="minorHAnsi" w:hAnsiTheme="minorHAnsi" w:cstheme="minorHAnsi"/>
                <w:i/>
                <w:sz w:val="16"/>
                <w:szCs w:val="16"/>
                <w:lang w:val="es-CO" w:eastAsia="es-CO"/>
              </w:rPr>
              <w:t>”</w:t>
            </w:r>
          </w:p>
        </w:tc>
        <w:tc>
          <w:tcPr>
            <w:tcW w:w="3969" w:type="dxa"/>
            <w:vMerge/>
            <w:tcBorders>
              <w:left w:val="single" w:sz="4" w:space="0" w:color="auto"/>
              <w:bottom w:val="single" w:sz="4" w:space="0" w:color="000000"/>
              <w:right w:val="single" w:sz="4" w:space="0" w:color="auto"/>
            </w:tcBorders>
            <w:vAlign w:val="center"/>
            <w:hideMark/>
          </w:tcPr>
          <w:p w14:paraId="17EE2B42" w14:textId="77777777" w:rsidR="002A5943" w:rsidRPr="000B0F0A" w:rsidRDefault="002A5943" w:rsidP="000B0F0A">
            <w:pPr>
              <w:jc w:val="left"/>
              <w:rPr>
                <w:rFonts w:asciiTheme="minorHAnsi" w:hAnsiTheme="minorHAnsi" w:cstheme="minorHAnsi"/>
                <w:sz w:val="16"/>
                <w:szCs w:val="16"/>
                <w:lang w:val="es-CO" w:eastAsia="es-CO"/>
              </w:rPr>
            </w:pPr>
          </w:p>
        </w:tc>
      </w:tr>
      <w:tr w:rsidR="00553411" w:rsidRPr="000B0F0A" w14:paraId="620580C7" w14:textId="77777777" w:rsidTr="007C4117">
        <w:trPr>
          <w:trHeight w:val="3353"/>
        </w:trPr>
        <w:tc>
          <w:tcPr>
            <w:tcW w:w="317" w:type="dxa"/>
            <w:vMerge w:val="restart"/>
            <w:tcBorders>
              <w:top w:val="nil"/>
              <w:left w:val="single" w:sz="4" w:space="0" w:color="auto"/>
              <w:bottom w:val="single" w:sz="4" w:space="0" w:color="000000"/>
              <w:right w:val="single" w:sz="4" w:space="0" w:color="auto"/>
            </w:tcBorders>
            <w:shd w:val="clear" w:color="auto" w:fill="auto"/>
            <w:vAlign w:val="center"/>
            <w:hideMark/>
          </w:tcPr>
          <w:p w14:paraId="05A08218" w14:textId="77777777" w:rsidR="00553411" w:rsidRPr="000B0F0A" w:rsidRDefault="00553411" w:rsidP="000B0F0A">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lastRenderedPageBreak/>
              <w:t>2</w:t>
            </w:r>
          </w:p>
        </w:tc>
        <w:tc>
          <w:tcPr>
            <w:tcW w:w="954" w:type="dxa"/>
            <w:vMerge w:val="restart"/>
            <w:tcBorders>
              <w:top w:val="nil"/>
              <w:left w:val="single" w:sz="4" w:space="0" w:color="auto"/>
              <w:bottom w:val="single" w:sz="4" w:space="0" w:color="000000"/>
              <w:right w:val="single" w:sz="4" w:space="0" w:color="auto"/>
            </w:tcBorders>
            <w:shd w:val="clear" w:color="auto" w:fill="auto"/>
            <w:vAlign w:val="center"/>
            <w:hideMark/>
          </w:tcPr>
          <w:p w14:paraId="79AB939A" w14:textId="77777777" w:rsidR="00553411" w:rsidRPr="000B0F0A" w:rsidRDefault="00553411" w:rsidP="000B0F0A">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Conciliaciones bancarias</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14:paraId="464A86B0" w14:textId="7068C3B3" w:rsidR="00553411" w:rsidRPr="005352D6" w:rsidRDefault="00553411" w:rsidP="000B0F0A">
            <w:pPr>
              <w:suppressAutoHyphens w:val="0"/>
              <w:autoSpaceDN/>
              <w:spacing w:after="240"/>
              <w:textAlignment w:val="auto"/>
              <w:rPr>
                <w:rFonts w:asciiTheme="minorHAnsi" w:hAnsiTheme="minorHAnsi" w:cstheme="minorHAnsi"/>
                <w:i/>
                <w:sz w:val="16"/>
                <w:szCs w:val="16"/>
                <w:lang w:val="es-CO" w:eastAsia="es-CO"/>
              </w:rPr>
            </w:pPr>
            <w:r w:rsidRPr="005352D6">
              <w:rPr>
                <w:rFonts w:asciiTheme="minorHAnsi" w:hAnsiTheme="minorHAnsi" w:cstheme="minorHAnsi"/>
                <w:i/>
                <w:sz w:val="16"/>
                <w:szCs w:val="16"/>
                <w:lang w:val="es-CO" w:eastAsia="es-CO"/>
              </w:rPr>
              <w:t>1. Remitir mensualmente al área de contabilidad el libro de bancos y los extractos bancarios para la elaboración de la conciliación Bancaria.</w:t>
            </w:r>
            <w:r w:rsidRPr="005352D6">
              <w:rPr>
                <w:rFonts w:asciiTheme="minorHAnsi" w:hAnsiTheme="minorHAnsi" w:cstheme="minorHAnsi"/>
                <w:i/>
                <w:sz w:val="16"/>
                <w:szCs w:val="16"/>
                <w:lang w:val="es-CO" w:eastAsia="es-CO"/>
              </w:rPr>
              <w:br/>
              <w:t>2. El área de Contabilidad envía al área de Tesorería la conciliación bancaria debidamente firmada por el Contador y el Jefe del Área Financiera.</w:t>
            </w:r>
            <w:r w:rsidRPr="005352D6">
              <w:rPr>
                <w:rFonts w:asciiTheme="minorHAnsi" w:hAnsiTheme="minorHAnsi" w:cstheme="minorHAnsi"/>
                <w:i/>
                <w:sz w:val="16"/>
                <w:szCs w:val="16"/>
                <w:lang w:val="es-CO" w:eastAsia="es-CO"/>
              </w:rPr>
              <w:br/>
              <w:t>3. El área de tesorería realiza la depuración y seguimiento a las partidas conciliatorias y los ajustes correspondientes en caso de ser necesario, previa coordinación con la persona encargada en Contabilidad.</w:t>
            </w:r>
            <w:r w:rsidRPr="005352D6">
              <w:rPr>
                <w:rFonts w:asciiTheme="minorHAnsi" w:hAnsiTheme="minorHAnsi" w:cstheme="minorHAnsi"/>
                <w:i/>
                <w:sz w:val="16"/>
                <w:szCs w:val="16"/>
                <w:lang w:val="es-CO" w:eastAsia="es-CO"/>
              </w:rPr>
              <w:br/>
            </w:r>
            <w:r w:rsidRPr="005352D6">
              <w:rPr>
                <w:rFonts w:asciiTheme="minorHAnsi" w:hAnsiTheme="minorHAnsi" w:cstheme="minorHAnsi"/>
                <w:i/>
                <w:sz w:val="16"/>
                <w:szCs w:val="16"/>
                <w:lang w:val="es-CO" w:eastAsia="es-CO"/>
              </w:rPr>
              <w:br/>
              <w:t>El formato de conciliación original es archivado por el área de tesorería  junto con los soportes y  Contabilidad se queda con una copia.</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14:paraId="341DDEA3" w14:textId="77777777" w:rsidR="00553411" w:rsidRPr="000B0F0A" w:rsidRDefault="00553411" w:rsidP="000B0F0A">
            <w:pPr>
              <w:suppressAutoHyphens w:val="0"/>
              <w:autoSpaceDN/>
              <w:textAlignment w:val="auto"/>
              <w:rPr>
                <w:rFonts w:asciiTheme="minorHAnsi" w:hAnsiTheme="minorHAnsi" w:cstheme="minorHAnsi"/>
                <w:color w:val="000000"/>
                <w:sz w:val="16"/>
                <w:szCs w:val="16"/>
                <w:lang w:val="es-CO" w:eastAsia="es-CO"/>
              </w:rPr>
            </w:pPr>
            <w:bookmarkStart w:id="13" w:name="RANGE!E8"/>
            <w:r w:rsidRPr="000B0F0A">
              <w:rPr>
                <w:rFonts w:asciiTheme="minorHAnsi" w:hAnsiTheme="minorHAnsi" w:cstheme="minorHAnsi"/>
                <w:b/>
                <w:bCs/>
                <w:color w:val="000000"/>
                <w:sz w:val="16"/>
                <w:szCs w:val="16"/>
                <w:lang w:val="es-CO" w:eastAsia="es-CO"/>
              </w:rPr>
              <w:t>7.5.1</w:t>
            </w:r>
            <w:r w:rsidRPr="000B0F0A">
              <w:rPr>
                <w:rFonts w:asciiTheme="minorHAnsi" w:hAnsiTheme="minorHAnsi" w:cstheme="minorHAnsi"/>
                <w:color w:val="000000"/>
                <w:sz w:val="16"/>
                <w:szCs w:val="16"/>
                <w:lang w:val="es-CO" w:eastAsia="es-CO"/>
              </w:rPr>
              <w:t xml:space="preserve"> </w:t>
            </w:r>
            <w:r w:rsidRPr="000B0F0A">
              <w:rPr>
                <w:rFonts w:asciiTheme="minorHAnsi" w:hAnsiTheme="minorHAnsi" w:cstheme="minorHAnsi"/>
                <w:b/>
                <w:bCs/>
                <w:color w:val="000000"/>
                <w:sz w:val="16"/>
                <w:szCs w:val="16"/>
                <w:lang w:val="es-CO" w:eastAsia="es-CO"/>
              </w:rPr>
              <w:t>Verificación y conciliación de información contable</w:t>
            </w:r>
            <w:r w:rsidRPr="000B0F0A">
              <w:rPr>
                <w:rFonts w:asciiTheme="minorHAnsi" w:hAnsiTheme="minorHAnsi" w:cstheme="minorHAnsi"/>
                <w:color w:val="000000"/>
                <w:sz w:val="16"/>
                <w:szCs w:val="16"/>
                <w:lang w:val="es-CO" w:eastAsia="es-CO"/>
              </w:rPr>
              <w:t>:</w:t>
            </w:r>
            <w:r w:rsidRPr="000B0F0A">
              <w:rPr>
                <w:rFonts w:asciiTheme="minorHAnsi" w:hAnsiTheme="minorHAnsi" w:cstheme="minorHAnsi"/>
                <w:i/>
                <w:iCs/>
                <w:color w:val="000000"/>
                <w:sz w:val="16"/>
                <w:szCs w:val="16"/>
                <w:lang w:val="es-CO" w:eastAsia="es-CO"/>
              </w:rPr>
              <w:t xml:space="preserve"> "El análisis, verificación y conciliación de la información contable se realiza periódicamente y de forma permanente por los funcionarios responsables del área contable, confrontando la información de las dos fuentes..." </w:t>
            </w:r>
            <w:bookmarkEnd w:id="13"/>
          </w:p>
        </w:tc>
        <w:tc>
          <w:tcPr>
            <w:tcW w:w="1276" w:type="dxa"/>
            <w:tcBorders>
              <w:top w:val="nil"/>
              <w:left w:val="nil"/>
              <w:bottom w:val="single" w:sz="4" w:space="0" w:color="auto"/>
              <w:right w:val="single" w:sz="4" w:space="0" w:color="auto"/>
            </w:tcBorders>
            <w:shd w:val="clear" w:color="auto" w:fill="auto"/>
            <w:vAlign w:val="center"/>
            <w:hideMark/>
          </w:tcPr>
          <w:p w14:paraId="78F2DEBD" w14:textId="77777777" w:rsidR="00553411" w:rsidRPr="000B0F0A" w:rsidRDefault="00553411" w:rsidP="000B0F0A">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Tesorería</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1857FC76" w14:textId="77777777" w:rsidR="00553411" w:rsidRPr="000B0F0A" w:rsidRDefault="00553411" w:rsidP="000B0F0A">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Mensualmente, dentro de los primeros 25 días calendario</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27D01D4" w14:textId="19D8CD76" w:rsidR="00553411" w:rsidRPr="000B0F0A" w:rsidRDefault="00553411" w:rsidP="00F82628">
            <w:pPr>
              <w:suppressAutoHyphens w:val="0"/>
              <w:autoSpaceDN/>
              <w:jc w:val="center"/>
              <w:textAlignment w:val="auto"/>
              <w:rPr>
                <w:rFonts w:asciiTheme="minorHAnsi" w:hAnsiTheme="minorHAnsi" w:cstheme="minorHAnsi"/>
                <w:sz w:val="16"/>
                <w:szCs w:val="16"/>
                <w:lang w:val="es-CO" w:eastAsia="es-CO"/>
              </w:rPr>
            </w:pPr>
            <w:r w:rsidRPr="00C8130F">
              <w:rPr>
                <w:rFonts w:asciiTheme="minorHAnsi" w:hAnsiTheme="minorHAnsi" w:cstheme="minorHAnsi"/>
                <w:sz w:val="16"/>
                <w:szCs w:val="16"/>
                <w:lang w:val="es-CO" w:eastAsia="es-CO"/>
              </w:rPr>
              <w:t>20213320125753</w:t>
            </w:r>
          </w:p>
        </w:tc>
        <w:tc>
          <w:tcPr>
            <w:tcW w:w="993" w:type="dxa"/>
            <w:vMerge w:val="restart"/>
            <w:tcBorders>
              <w:top w:val="nil"/>
              <w:left w:val="single" w:sz="4" w:space="0" w:color="auto"/>
              <w:right w:val="single" w:sz="4" w:space="0" w:color="auto"/>
            </w:tcBorders>
            <w:shd w:val="clear" w:color="auto" w:fill="92D050"/>
            <w:vAlign w:val="center"/>
            <w:hideMark/>
          </w:tcPr>
          <w:p w14:paraId="4F40C2E3" w14:textId="77777777" w:rsidR="00D06437" w:rsidRDefault="00D06437" w:rsidP="00D06437">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SI</w:t>
            </w:r>
          </w:p>
          <w:p w14:paraId="10BBD605" w14:textId="2A310CFA" w:rsidR="00553411" w:rsidRPr="000B0F0A" w:rsidRDefault="00D06437" w:rsidP="00D06437">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p>
        </w:tc>
        <w:tc>
          <w:tcPr>
            <w:tcW w:w="4110" w:type="dxa"/>
            <w:tcBorders>
              <w:top w:val="nil"/>
              <w:left w:val="single" w:sz="4" w:space="0" w:color="auto"/>
              <w:bottom w:val="single" w:sz="4" w:space="0" w:color="auto"/>
              <w:right w:val="single" w:sz="4" w:space="0" w:color="auto"/>
            </w:tcBorders>
            <w:shd w:val="clear" w:color="auto" w:fill="auto"/>
            <w:vAlign w:val="center"/>
            <w:hideMark/>
          </w:tcPr>
          <w:p w14:paraId="110E338C" w14:textId="5625E008" w:rsidR="00553411" w:rsidRPr="000B0F0A" w:rsidRDefault="00553411" w:rsidP="003E1221">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Tesorería informa que </w:t>
            </w:r>
            <w:r w:rsidRPr="00FA25A0">
              <w:rPr>
                <w:rFonts w:asciiTheme="minorHAnsi" w:hAnsiTheme="minorHAnsi" w:cstheme="minorHAnsi"/>
                <w:i/>
                <w:sz w:val="16"/>
                <w:szCs w:val="16"/>
                <w:lang w:val="es-CO" w:eastAsia="es-CO"/>
              </w:rPr>
              <w:t>remite “Correo electrónico del envió de los libros de bancos y extractos bancarios del 8 de marzo de 2021”.</w:t>
            </w:r>
          </w:p>
        </w:tc>
        <w:tc>
          <w:tcPr>
            <w:tcW w:w="3969" w:type="dxa"/>
            <w:vMerge w:val="restart"/>
            <w:tcBorders>
              <w:top w:val="nil"/>
              <w:left w:val="single" w:sz="4" w:space="0" w:color="auto"/>
              <w:right w:val="single" w:sz="4" w:space="0" w:color="auto"/>
            </w:tcBorders>
            <w:shd w:val="clear" w:color="auto" w:fill="auto"/>
            <w:vAlign w:val="center"/>
            <w:hideMark/>
          </w:tcPr>
          <w:p w14:paraId="0345EFA3" w14:textId="764CA556" w:rsidR="00553411" w:rsidRPr="002E12C1" w:rsidRDefault="00553411" w:rsidP="000B0F0A">
            <w:pPr>
              <w:suppressAutoHyphens w:val="0"/>
              <w:autoSpaceDN/>
              <w:textAlignment w:val="auto"/>
              <w:rPr>
                <w:rFonts w:asciiTheme="minorHAnsi" w:hAnsiTheme="minorHAnsi" w:cstheme="minorHAnsi"/>
                <w:b/>
                <w:sz w:val="16"/>
                <w:szCs w:val="16"/>
                <w:lang w:val="es-CO" w:eastAsia="es-CO"/>
              </w:rPr>
            </w:pPr>
            <w:r w:rsidRPr="002C61A7">
              <w:rPr>
                <w:rFonts w:asciiTheme="minorHAnsi" w:hAnsiTheme="minorHAnsi" w:cstheme="minorHAnsi"/>
                <w:b/>
                <w:sz w:val="16"/>
                <w:szCs w:val="16"/>
                <w:lang w:val="es-CO" w:eastAsia="es-CO"/>
              </w:rPr>
              <w:t>REMISION DE LIBROS AUXILIARES Y EXTRACTOS - ELABORACIÓN D</w:t>
            </w:r>
            <w:r w:rsidR="002E12C1">
              <w:rPr>
                <w:rFonts w:asciiTheme="minorHAnsi" w:hAnsiTheme="minorHAnsi" w:cstheme="minorHAnsi"/>
                <w:b/>
                <w:sz w:val="16"/>
                <w:szCs w:val="16"/>
                <w:lang w:val="es-CO" w:eastAsia="es-CO"/>
              </w:rPr>
              <w:t>E CONCILIACIÓN</w:t>
            </w:r>
          </w:p>
          <w:p w14:paraId="5A32B327" w14:textId="4DB0644E" w:rsidR="00553411" w:rsidRDefault="00553411" w:rsidP="000B0F0A">
            <w:pPr>
              <w:suppressAutoHyphens w:val="0"/>
              <w:autoSpaceDN/>
              <w:textAlignment w:val="auto"/>
              <w:rPr>
                <w:rFonts w:asciiTheme="minorHAnsi" w:hAnsiTheme="minorHAnsi" w:cstheme="minorHAnsi"/>
                <w:sz w:val="16"/>
                <w:szCs w:val="16"/>
                <w:lang w:val="es-CO" w:eastAsia="es-CO"/>
              </w:rPr>
            </w:pPr>
            <w:r w:rsidRPr="002C61A7">
              <w:rPr>
                <w:rFonts w:asciiTheme="minorHAnsi" w:hAnsiTheme="minorHAnsi" w:cstheme="minorHAnsi"/>
                <w:sz w:val="16"/>
                <w:szCs w:val="16"/>
                <w:lang w:val="es-CO" w:eastAsia="es-CO"/>
              </w:rPr>
              <w:t xml:space="preserve">Una vez revisada la </w:t>
            </w:r>
            <w:r>
              <w:rPr>
                <w:rFonts w:asciiTheme="minorHAnsi" w:hAnsiTheme="minorHAnsi" w:cstheme="minorHAnsi"/>
                <w:sz w:val="16"/>
                <w:szCs w:val="16"/>
                <w:lang w:val="es-CO" w:eastAsia="es-CO"/>
              </w:rPr>
              <w:t>información suministrada por Tesorería</w:t>
            </w:r>
            <w:r w:rsidRPr="002C61A7">
              <w:rPr>
                <w:rFonts w:asciiTheme="minorHAnsi" w:hAnsiTheme="minorHAnsi" w:cstheme="minorHAnsi"/>
                <w:sz w:val="16"/>
                <w:szCs w:val="16"/>
                <w:lang w:val="es-CO" w:eastAsia="es-CO"/>
              </w:rPr>
              <w:t>, se verifica la ejecución de la actividad del PSC</w:t>
            </w:r>
            <w:r>
              <w:rPr>
                <w:rFonts w:asciiTheme="minorHAnsi" w:hAnsiTheme="minorHAnsi" w:cstheme="minorHAnsi"/>
                <w:sz w:val="16"/>
                <w:szCs w:val="16"/>
                <w:lang w:val="es-CO" w:eastAsia="es-CO"/>
              </w:rPr>
              <w:t xml:space="preserve"> sobre la remisión de los </w:t>
            </w:r>
            <w:r w:rsidRPr="002C61A7">
              <w:rPr>
                <w:rFonts w:asciiTheme="minorHAnsi" w:hAnsiTheme="minorHAnsi" w:cstheme="minorHAnsi"/>
                <w:sz w:val="16"/>
                <w:szCs w:val="16"/>
                <w:lang w:val="es-CO" w:eastAsia="es-CO"/>
              </w:rPr>
              <w:t>libros y extractos bancarios del mes de febrero de 2021</w:t>
            </w:r>
          </w:p>
          <w:p w14:paraId="415AEC61" w14:textId="77777777" w:rsidR="00553411" w:rsidRDefault="00553411" w:rsidP="000B0F0A">
            <w:pPr>
              <w:suppressAutoHyphens w:val="0"/>
              <w:autoSpaceDN/>
              <w:textAlignment w:val="auto"/>
              <w:rPr>
                <w:rFonts w:asciiTheme="minorHAnsi" w:hAnsiTheme="minorHAnsi" w:cstheme="minorHAnsi"/>
                <w:sz w:val="16"/>
                <w:szCs w:val="16"/>
                <w:lang w:val="es-CO" w:eastAsia="es-CO"/>
              </w:rPr>
            </w:pPr>
          </w:p>
          <w:p w14:paraId="323496D8" w14:textId="6856DE67" w:rsidR="00D06437" w:rsidRDefault="00553411" w:rsidP="000B0F0A">
            <w:pPr>
              <w:suppressAutoHyphens w:val="0"/>
              <w:autoSpaceDN/>
              <w:textAlignment w:val="auto"/>
              <w:rPr>
                <w:rFonts w:asciiTheme="minorHAnsi" w:hAnsiTheme="minorHAnsi" w:cstheme="minorHAnsi"/>
                <w:b/>
                <w:sz w:val="16"/>
                <w:szCs w:val="16"/>
                <w:lang w:val="es-CO" w:eastAsia="es-CO"/>
              </w:rPr>
            </w:pPr>
            <w:r w:rsidRPr="00553411">
              <w:rPr>
                <w:rFonts w:asciiTheme="minorHAnsi" w:hAnsiTheme="minorHAnsi" w:cstheme="minorHAnsi"/>
                <w:b/>
                <w:sz w:val="16"/>
                <w:szCs w:val="16"/>
                <w:lang w:val="es-CO" w:eastAsia="es-CO"/>
              </w:rPr>
              <w:t>REMISIÓN DE LA CONCILIACIÓN BANCARIA</w:t>
            </w:r>
          </w:p>
          <w:p w14:paraId="109F5920" w14:textId="6FA96C69" w:rsidR="00D06437" w:rsidRDefault="00D06437" w:rsidP="00681392">
            <w:pPr>
              <w:suppressAutoHyphens w:val="0"/>
              <w:autoSpaceDN/>
              <w:textAlignment w:val="auto"/>
              <w:rPr>
                <w:rFonts w:asciiTheme="minorHAnsi" w:hAnsiTheme="minorHAnsi" w:cstheme="minorHAnsi"/>
                <w:sz w:val="16"/>
                <w:szCs w:val="16"/>
                <w:lang w:val="es-CO" w:eastAsia="es-CO"/>
              </w:rPr>
            </w:pPr>
            <w:r w:rsidRPr="002C61A7">
              <w:rPr>
                <w:rFonts w:asciiTheme="minorHAnsi" w:hAnsiTheme="minorHAnsi" w:cstheme="minorHAnsi"/>
                <w:sz w:val="16"/>
                <w:szCs w:val="16"/>
                <w:lang w:val="es-CO" w:eastAsia="es-CO"/>
              </w:rPr>
              <w:t xml:space="preserve">Una vez revisada la </w:t>
            </w:r>
            <w:r>
              <w:rPr>
                <w:rFonts w:asciiTheme="minorHAnsi" w:hAnsiTheme="minorHAnsi" w:cstheme="minorHAnsi"/>
                <w:sz w:val="16"/>
                <w:szCs w:val="16"/>
                <w:lang w:val="es-CO" w:eastAsia="es-CO"/>
              </w:rPr>
              <w:t>información suministrada por SAF</w:t>
            </w:r>
            <w:r w:rsidRPr="002C61A7">
              <w:rPr>
                <w:rFonts w:asciiTheme="minorHAnsi" w:hAnsiTheme="minorHAnsi" w:cstheme="minorHAnsi"/>
                <w:sz w:val="16"/>
                <w:szCs w:val="16"/>
                <w:lang w:val="es-CO" w:eastAsia="es-CO"/>
              </w:rPr>
              <w:t>, se verifica la ejecución de la actividad del PSC</w:t>
            </w:r>
            <w:r w:rsidR="001E0C54">
              <w:rPr>
                <w:rFonts w:asciiTheme="minorHAnsi" w:hAnsiTheme="minorHAnsi" w:cstheme="minorHAnsi"/>
                <w:sz w:val="16"/>
                <w:szCs w:val="16"/>
                <w:lang w:val="es-CO" w:eastAsia="es-CO"/>
              </w:rPr>
              <w:t xml:space="preserve"> para los</w:t>
            </w:r>
            <w:r w:rsidR="00681392">
              <w:rPr>
                <w:rFonts w:asciiTheme="minorHAnsi" w:hAnsiTheme="minorHAnsi" w:cstheme="minorHAnsi"/>
                <w:sz w:val="16"/>
                <w:szCs w:val="16"/>
                <w:lang w:val="es-CO" w:eastAsia="es-CO"/>
              </w:rPr>
              <w:t xml:space="preserve"> mes</w:t>
            </w:r>
            <w:r w:rsidR="001E0C54">
              <w:rPr>
                <w:rFonts w:asciiTheme="minorHAnsi" w:hAnsiTheme="minorHAnsi" w:cstheme="minorHAnsi"/>
                <w:sz w:val="16"/>
                <w:szCs w:val="16"/>
                <w:lang w:val="es-CO" w:eastAsia="es-CO"/>
              </w:rPr>
              <w:t>es de dic-2</w:t>
            </w:r>
            <w:r w:rsidR="00681392">
              <w:rPr>
                <w:rFonts w:asciiTheme="minorHAnsi" w:hAnsiTheme="minorHAnsi" w:cstheme="minorHAnsi"/>
                <w:sz w:val="16"/>
                <w:szCs w:val="16"/>
                <w:lang w:val="es-CO" w:eastAsia="es-CO"/>
              </w:rPr>
              <w:t>020</w:t>
            </w:r>
            <w:r w:rsidR="001E0C54">
              <w:rPr>
                <w:rFonts w:asciiTheme="minorHAnsi" w:hAnsiTheme="minorHAnsi" w:cstheme="minorHAnsi"/>
                <w:sz w:val="16"/>
                <w:szCs w:val="16"/>
                <w:lang w:val="es-CO" w:eastAsia="es-CO"/>
              </w:rPr>
              <w:t xml:space="preserve"> y feb-2021</w:t>
            </w:r>
            <w:r w:rsidR="00681392">
              <w:rPr>
                <w:rFonts w:asciiTheme="minorHAnsi" w:hAnsiTheme="minorHAnsi" w:cstheme="minorHAnsi"/>
                <w:sz w:val="16"/>
                <w:szCs w:val="16"/>
                <w:lang w:val="es-CO" w:eastAsia="es-CO"/>
              </w:rPr>
              <w:t>.</w:t>
            </w:r>
          </w:p>
          <w:p w14:paraId="2CF5613C" w14:textId="77777777" w:rsidR="00681392" w:rsidRDefault="00681392" w:rsidP="00681392">
            <w:pPr>
              <w:suppressAutoHyphens w:val="0"/>
              <w:autoSpaceDN/>
              <w:textAlignment w:val="auto"/>
              <w:rPr>
                <w:rFonts w:asciiTheme="minorHAnsi" w:hAnsiTheme="minorHAnsi" w:cstheme="minorHAnsi"/>
                <w:sz w:val="16"/>
                <w:szCs w:val="16"/>
                <w:lang w:val="es-CO" w:eastAsia="es-CO"/>
              </w:rPr>
            </w:pPr>
          </w:p>
          <w:p w14:paraId="6127F40F" w14:textId="0304F15C" w:rsidR="00681392" w:rsidRDefault="00681392" w:rsidP="00681392">
            <w:pPr>
              <w:suppressAutoHyphens w:val="0"/>
              <w:autoSpaceDN/>
              <w:textAlignment w:val="auto"/>
              <w:rPr>
                <w:rFonts w:asciiTheme="minorHAnsi" w:hAnsiTheme="minorHAnsi" w:cstheme="minorHAnsi"/>
                <w:sz w:val="16"/>
                <w:szCs w:val="16"/>
                <w:lang w:val="es-CO" w:eastAsia="es-CO"/>
              </w:rPr>
            </w:pPr>
            <w:r w:rsidRPr="00681392">
              <w:rPr>
                <w:rFonts w:asciiTheme="minorHAnsi" w:hAnsiTheme="minorHAnsi" w:cstheme="minorHAnsi"/>
                <w:sz w:val="16"/>
                <w:szCs w:val="16"/>
                <w:lang w:val="es-CO" w:eastAsia="es-CO"/>
              </w:rPr>
              <w:t>Se constata que las cuen</w:t>
            </w:r>
            <w:r w:rsidR="000C424E">
              <w:rPr>
                <w:rFonts w:asciiTheme="minorHAnsi" w:hAnsiTheme="minorHAnsi" w:cstheme="minorHAnsi"/>
                <w:sz w:val="16"/>
                <w:szCs w:val="16"/>
                <w:lang w:val="es-CO" w:eastAsia="es-CO"/>
              </w:rPr>
              <w:t>tas relacionadas</w:t>
            </w:r>
            <w:r w:rsidRPr="00681392">
              <w:rPr>
                <w:rFonts w:asciiTheme="minorHAnsi" w:hAnsiTheme="minorHAnsi" w:cstheme="minorHAnsi"/>
                <w:sz w:val="16"/>
                <w:szCs w:val="16"/>
                <w:lang w:val="es-CO" w:eastAsia="es-CO"/>
              </w:rPr>
              <w:t xml:space="preserve"> del mes de diciembre corresponden a las cuentas corrientes y de ahorros que s</w:t>
            </w:r>
            <w:r>
              <w:rPr>
                <w:rFonts w:asciiTheme="minorHAnsi" w:hAnsiTheme="minorHAnsi" w:cstheme="minorHAnsi"/>
                <w:sz w:val="16"/>
                <w:szCs w:val="16"/>
                <w:lang w:val="es-CO" w:eastAsia="es-CO"/>
              </w:rPr>
              <w:t>e encuentran listadas en la</w:t>
            </w:r>
            <w:r w:rsidR="000C424E">
              <w:rPr>
                <w:rFonts w:asciiTheme="minorHAnsi" w:hAnsiTheme="minorHAnsi" w:cstheme="minorHAnsi"/>
                <w:sz w:val="16"/>
                <w:szCs w:val="16"/>
                <w:lang w:val="es-CO" w:eastAsia="es-CO"/>
              </w:rPr>
              <w:t xml:space="preserve"> nota</w:t>
            </w:r>
            <w:r w:rsidR="00C71C2D">
              <w:rPr>
                <w:rFonts w:asciiTheme="minorHAnsi" w:hAnsiTheme="minorHAnsi" w:cstheme="minorHAnsi"/>
                <w:sz w:val="16"/>
                <w:szCs w:val="16"/>
                <w:lang w:val="es-CO" w:eastAsia="es-CO"/>
              </w:rPr>
              <w:t xml:space="preserve"> de</w:t>
            </w:r>
            <w:r w:rsidR="00C71C2D" w:rsidRPr="00681392">
              <w:rPr>
                <w:rFonts w:asciiTheme="minorHAnsi" w:hAnsiTheme="minorHAnsi" w:cstheme="minorHAnsi"/>
                <w:sz w:val="16"/>
                <w:szCs w:val="16"/>
                <w:lang w:val="es-CO" w:eastAsia="es-CO"/>
              </w:rPr>
              <w:t xml:space="preserve"> los E</w:t>
            </w:r>
            <w:r w:rsidR="00C71C2D">
              <w:rPr>
                <w:rFonts w:asciiTheme="minorHAnsi" w:hAnsiTheme="minorHAnsi" w:cstheme="minorHAnsi"/>
                <w:sz w:val="16"/>
                <w:szCs w:val="16"/>
                <w:lang w:val="es-CO" w:eastAsia="es-CO"/>
              </w:rPr>
              <w:t>stados Financieros vigencia 2020 “</w:t>
            </w:r>
            <w:r w:rsidRPr="00681392">
              <w:rPr>
                <w:rFonts w:asciiTheme="minorHAnsi" w:hAnsiTheme="minorHAnsi" w:cstheme="minorHAnsi"/>
                <w:sz w:val="16"/>
                <w:szCs w:val="16"/>
                <w:lang w:val="es-CO" w:eastAsia="es-CO"/>
              </w:rPr>
              <w:t xml:space="preserve">No. 5.1. </w:t>
            </w:r>
            <w:r w:rsidRPr="000C424E">
              <w:rPr>
                <w:rFonts w:asciiTheme="minorHAnsi" w:hAnsiTheme="minorHAnsi" w:cstheme="minorHAnsi"/>
                <w:i/>
                <w:sz w:val="16"/>
                <w:szCs w:val="16"/>
                <w:lang w:val="es-CO" w:eastAsia="es-CO"/>
              </w:rPr>
              <w:t>Depósitos en instituciones financieras</w:t>
            </w:r>
            <w:r w:rsidR="000C424E">
              <w:rPr>
                <w:rFonts w:asciiTheme="minorHAnsi" w:hAnsiTheme="minorHAnsi" w:cstheme="minorHAnsi"/>
                <w:sz w:val="16"/>
                <w:szCs w:val="16"/>
                <w:lang w:val="es-CO" w:eastAsia="es-CO"/>
              </w:rPr>
              <w:t xml:space="preserve">” </w:t>
            </w:r>
          </w:p>
          <w:p w14:paraId="6FAC14E9" w14:textId="37AB1B38" w:rsidR="0095074D" w:rsidRDefault="0095074D" w:rsidP="00681392">
            <w:pPr>
              <w:suppressAutoHyphens w:val="0"/>
              <w:autoSpaceDN/>
              <w:textAlignment w:val="auto"/>
              <w:rPr>
                <w:rFonts w:asciiTheme="minorHAnsi" w:hAnsiTheme="minorHAnsi" w:cstheme="minorHAnsi"/>
                <w:sz w:val="16"/>
                <w:szCs w:val="16"/>
                <w:lang w:val="es-CO" w:eastAsia="es-CO"/>
              </w:rPr>
            </w:pPr>
          </w:p>
          <w:p w14:paraId="6DAE07C0" w14:textId="4CABF52E" w:rsidR="00EE7402" w:rsidRDefault="0095074D" w:rsidP="00681392">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Se evidenció la remisión</w:t>
            </w:r>
            <w:r w:rsidR="00454DBD">
              <w:rPr>
                <w:rFonts w:asciiTheme="minorHAnsi" w:hAnsiTheme="minorHAnsi" w:cstheme="minorHAnsi"/>
                <w:sz w:val="16"/>
                <w:szCs w:val="16"/>
                <w:lang w:val="es-CO" w:eastAsia="es-CO"/>
              </w:rPr>
              <w:t xml:space="preserve"> al área de Tesorería</w:t>
            </w:r>
            <w:r>
              <w:rPr>
                <w:rFonts w:asciiTheme="minorHAnsi" w:hAnsiTheme="minorHAnsi" w:cstheme="minorHAnsi"/>
                <w:sz w:val="16"/>
                <w:szCs w:val="16"/>
                <w:lang w:val="es-CO" w:eastAsia="es-CO"/>
              </w:rPr>
              <w:t xml:space="preserve"> de las conciliaciones, firmadas por el profesional especializado grado 10 del área de contabilidad y el profesional especializado grado 11 del área financiera.</w:t>
            </w:r>
          </w:p>
          <w:p w14:paraId="464AAAA2" w14:textId="77777777" w:rsidR="0095074D" w:rsidRDefault="0095074D" w:rsidP="00681392">
            <w:pPr>
              <w:suppressAutoHyphens w:val="0"/>
              <w:autoSpaceDN/>
              <w:textAlignment w:val="auto"/>
              <w:rPr>
                <w:rFonts w:asciiTheme="minorHAnsi" w:hAnsiTheme="minorHAnsi" w:cstheme="minorHAnsi"/>
                <w:sz w:val="16"/>
                <w:szCs w:val="16"/>
                <w:lang w:val="es-CO" w:eastAsia="es-CO"/>
              </w:rPr>
            </w:pPr>
          </w:p>
          <w:p w14:paraId="1A89D7BC" w14:textId="315747E7" w:rsidR="00EE7402" w:rsidRPr="00681392" w:rsidRDefault="00EE7402" w:rsidP="00681392">
            <w:pPr>
              <w:suppressAutoHyphens w:val="0"/>
              <w:autoSpaceDN/>
              <w:textAlignment w:val="auto"/>
              <w:rPr>
                <w:rFonts w:asciiTheme="minorHAnsi" w:hAnsiTheme="minorHAnsi" w:cstheme="minorHAnsi"/>
                <w:b/>
                <w:sz w:val="16"/>
                <w:szCs w:val="16"/>
                <w:lang w:val="es-CO" w:eastAsia="es-CO"/>
              </w:rPr>
            </w:pPr>
          </w:p>
        </w:tc>
      </w:tr>
      <w:tr w:rsidR="00553411" w:rsidRPr="000B0F0A" w14:paraId="739E03B9" w14:textId="77777777" w:rsidTr="007C4117">
        <w:trPr>
          <w:trHeight w:val="2691"/>
        </w:trPr>
        <w:tc>
          <w:tcPr>
            <w:tcW w:w="317" w:type="dxa"/>
            <w:vMerge/>
            <w:tcBorders>
              <w:top w:val="nil"/>
              <w:left w:val="single" w:sz="4" w:space="0" w:color="auto"/>
              <w:bottom w:val="single" w:sz="4" w:space="0" w:color="000000"/>
              <w:right w:val="single" w:sz="4" w:space="0" w:color="auto"/>
            </w:tcBorders>
            <w:vAlign w:val="center"/>
            <w:hideMark/>
          </w:tcPr>
          <w:p w14:paraId="082A2C96" w14:textId="77777777" w:rsidR="00553411" w:rsidRPr="000B0F0A" w:rsidRDefault="00553411" w:rsidP="000B0F0A">
            <w:pPr>
              <w:suppressAutoHyphens w:val="0"/>
              <w:autoSpaceDN/>
              <w:jc w:val="left"/>
              <w:textAlignment w:val="auto"/>
              <w:rPr>
                <w:rFonts w:asciiTheme="minorHAnsi" w:hAnsiTheme="minorHAnsi" w:cstheme="minorHAnsi"/>
                <w:sz w:val="16"/>
                <w:szCs w:val="16"/>
                <w:lang w:val="es-CO" w:eastAsia="es-CO"/>
              </w:rPr>
            </w:pPr>
          </w:p>
        </w:tc>
        <w:tc>
          <w:tcPr>
            <w:tcW w:w="954" w:type="dxa"/>
            <w:vMerge/>
            <w:tcBorders>
              <w:top w:val="nil"/>
              <w:left w:val="single" w:sz="4" w:space="0" w:color="auto"/>
              <w:bottom w:val="single" w:sz="4" w:space="0" w:color="000000"/>
              <w:right w:val="single" w:sz="4" w:space="0" w:color="auto"/>
            </w:tcBorders>
            <w:vAlign w:val="center"/>
            <w:hideMark/>
          </w:tcPr>
          <w:p w14:paraId="54FD253F" w14:textId="77777777" w:rsidR="00553411" w:rsidRPr="000B0F0A" w:rsidRDefault="00553411" w:rsidP="000B0F0A">
            <w:pPr>
              <w:suppressAutoHyphens w:val="0"/>
              <w:autoSpaceDN/>
              <w:jc w:val="left"/>
              <w:textAlignment w:val="auto"/>
              <w:rPr>
                <w:rFonts w:asciiTheme="minorHAnsi" w:hAnsiTheme="minorHAnsi" w:cstheme="minorHAnsi"/>
                <w:sz w:val="16"/>
                <w:szCs w:val="16"/>
                <w:lang w:val="es-CO" w:eastAsia="es-CO"/>
              </w:rPr>
            </w:pPr>
          </w:p>
        </w:tc>
        <w:tc>
          <w:tcPr>
            <w:tcW w:w="3969" w:type="dxa"/>
            <w:vMerge/>
            <w:tcBorders>
              <w:top w:val="nil"/>
              <w:left w:val="single" w:sz="4" w:space="0" w:color="auto"/>
              <w:bottom w:val="single" w:sz="4" w:space="0" w:color="000000"/>
              <w:right w:val="single" w:sz="4" w:space="0" w:color="auto"/>
            </w:tcBorders>
            <w:vAlign w:val="center"/>
            <w:hideMark/>
          </w:tcPr>
          <w:p w14:paraId="0E8AC8EB" w14:textId="77777777" w:rsidR="00553411" w:rsidRPr="000B0F0A" w:rsidRDefault="00553411" w:rsidP="000B0F0A">
            <w:pPr>
              <w:suppressAutoHyphens w:val="0"/>
              <w:autoSpaceDN/>
              <w:jc w:val="left"/>
              <w:textAlignment w:val="auto"/>
              <w:rPr>
                <w:rFonts w:asciiTheme="minorHAnsi" w:hAnsiTheme="minorHAnsi" w:cstheme="minorHAnsi"/>
                <w:sz w:val="16"/>
                <w:szCs w:val="16"/>
                <w:lang w:val="es-CO" w:eastAsia="es-CO"/>
              </w:rPr>
            </w:pPr>
          </w:p>
        </w:tc>
        <w:tc>
          <w:tcPr>
            <w:tcW w:w="3544" w:type="dxa"/>
            <w:vMerge/>
            <w:tcBorders>
              <w:top w:val="nil"/>
              <w:left w:val="single" w:sz="4" w:space="0" w:color="auto"/>
              <w:bottom w:val="single" w:sz="4" w:space="0" w:color="000000"/>
              <w:right w:val="single" w:sz="4" w:space="0" w:color="auto"/>
            </w:tcBorders>
            <w:vAlign w:val="center"/>
            <w:hideMark/>
          </w:tcPr>
          <w:p w14:paraId="7D4A897A" w14:textId="77777777" w:rsidR="00553411" w:rsidRPr="000B0F0A" w:rsidRDefault="00553411" w:rsidP="000B0F0A">
            <w:pPr>
              <w:suppressAutoHyphens w:val="0"/>
              <w:autoSpaceDN/>
              <w:jc w:val="left"/>
              <w:textAlignment w:val="auto"/>
              <w:rPr>
                <w:rFonts w:asciiTheme="minorHAnsi" w:hAnsiTheme="minorHAnsi" w:cstheme="minorHAnsi"/>
                <w:color w:val="000000"/>
                <w:sz w:val="16"/>
                <w:szCs w:val="16"/>
                <w:lang w:val="es-CO" w:eastAsia="es-CO"/>
              </w:rPr>
            </w:pPr>
          </w:p>
        </w:tc>
        <w:tc>
          <w:tcPr>
            <w:tcW w:w="1276" w:type="dxa"/>
            <w:tcBorders>
              <w:top w:val="nil"/>
              <w:left w:val="nil"/>
              <w:bottom w:val="single" w:sz="4" w:space="0" w:color="auto"/>
              <w:right w:val="single" w:sz="4" w:space="0" w:color="auto"/>
            </w:tcBorders>
            <w:shd w:val="clear" w:color="auto" w:fill="auto"/>
            <w:vAlign w:val="center"/>
            <w:hideMark/>
          </w:tcPr>
          <w:p w14:paraId="2F8910AC" w14:textId="77777777" w:rsidR="00553411" w:rsidRPr="000B0F0A" w:rsidRDefault="00553411" w:rsidP="000B0F0A">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Contabilidad</w:t>
            </w:r>
          </w:p>
        </w:tc>
        <w:tc>
          <w:tcPr>
            <w:tcW w:w="1984" w:type="dxa"/>
            <w:vMerge/>
            <w:tcBorders>
              <w:top w:val="nil"/>
              <w:left w:val="single" w:sz="4" w:space="0" w:color="auto"/>
              <w:bottom w:val="single" w:sz="4" w:space="0" w:color="000000"/>
              <w:right w:val="single" w:sz="4" w:space="0" w:color="auto"/>
            </w:tcBorders>
            <w:vAlign w:val="center"/>
            <w:hideMark/>
          </w:tcPr>
          <w:p w14:paraId="385159FF" w14:textId="77777777" w:rsidR="00553411" w:rsidRPr="000B0F0A" w:rsidRDefault="00553411" w:rsidP="000B0F0A">
            <w:pPr>
              <w:suppressAutoHyphens w:val="0"/>
              <w:autoSpaceDN/>
              <w:jc w:val="left"/>
              <w:textAlignment w:val="auto"/>
              <w:rPr>
                <w:rFonts w:asciiTheme="minorHAnsi" w:hAnsiTheme="minorHAnsi" w:cstheme="minorHAnsi"/>
                <w:sz w:val="16"/>
                <w:szCs w:val="16"/>
                <w:lang w:val="es-CO" w:eastAsia="es-CO"/>
              </w:rPr>
            </w:pPr>
          </w:p>
        </w:tc>
        <w:tc>
          <w:tcPr>
            <w:tcW w:w="1559" w:type="dxa"/>
            <w:tcBorders>
              <w:top w:val="single" w:sz="4" w:space="0" w:color="auto"/>
              <w:left w:val="single" w:sz="4" w:space="0" w:color="auto"/>
              <w:bottom w:val="single" w:sz="4" w:space="0" w:color="000000"/>
              <w:right w:val="single" w:sz="4" w:space="0" w:color="auto"/>
            </w:tcBorders>
            <w:vAlign w:val="center"/>
            <w:hideMark/>
          </w:tcPr>
          <w:p w14:paraId="23F6585E" w14:textId="062B81A4" w:rsidR="00553411" w:rsidRPr="000B0F0A" w:rsidRDefault="00553411" w:rsidP="00F82628">
            <w:pPr>
              <w:jc w:val="center"/>
              <w:rPr>
                <w:rFonts w:asciiTheme="minorHAnsi" w:hAnsiTheme="minorHAnsi" w:cstheme="minorHAnsi"/>
                <w:sz w:val="16"/>
                <w:szCs w:val="16"/>
                <w:lang w:val="es-CO" w:eastAsia="es-CO"/>
              </w:rPr>
            </w:pPr>
            <w:r w:rsidRPr="00A17B1B">
              <w:rPr>
                <w:rFonts w:asciiTheme="minorHAnsi" w:hAnsiTheme="minorHAnsi" w:cstheme="minorHAnsi"/>
                <w:sz w:val="16"/>
                <w:szCs w:val="16"/>
                <w:lang w:val="es-CO" w:eastAsia="es-CO"/>
              </w:rPr>
              <w:t>20213330122183</w:t>
            </w:r>
          </w:p>
        </w:tc>
        <w:tc>
          <w:tcPr>
            <w:tcW w:w="993" w:type="dxa"/>
            <w:vMerge/>
            <w:tcBorders>
              <w:left w:val="single" w:sz="4" w:space="0" w:color="auto"/>
              <w:bottom w:val="single" w:sz="4" w:space="0" w:color="000000"/>
              <w:right w:val="single" w:sz="4" w:space="0" w:color="auto"/>
            </w:tcBorders>
            <w:shd w:val="clear" w:color="auto" w:fill="92D050"/>
            <w:vAlign w:val="center"/>
            <w:hideMark/>
          </w:tcPr>
          <w:p w14:paraId="3CA8C1A0" w14:textId="77777777" w:rsidR="00553411" w:rsidRPr="000B0F0A" w:rsidRDefault="00553411" w:rsidP="000B0F0A">
            <w:pPr>
              <w:rPr>
                <w:rFonts w:asciiTheme="minorHAnsi" w:hAnsiTheme="minorHAnsi" w:cstheme="minorHAnsi"/>
                <w:sz w:val="16"/>
                <w:szCs w:val="16"/>
                <w:lang w:val="es-CO" w:eastAsia="es-CO"/>
              </w:rPr>
            </w:pPr>
          </w:p>
        </w:tc>
        <w:tc>
          <w:tcPr>
            <w:tcW w:w="4110" w:type="dxa"/>
            <w:tcBorders>
              <w:top w:val="single" w:sz="4" w:space="0" w:color="auto"/>
              <w:left w:val="single" w:sz="4" w:space="0" w:color="auto"/>
              <w:bottom w:val="single" w:sz="4" w:space="0" w:color="000000"/>
              <w:right w:val="single" w:sz="4" w:space="0" w:color="auto"/>
            </w:tcBorders>
            <w:vAlign w:val="center"/>
            <w:hideMark/>
          </w:tcPr>
          <w:p w14:paraId="3118E8CC" w14:textId="38048249" w:rsidR="00553411" w:rsidRPr="000B0F0A" w:rsidRDefault="00553411" w:rsidP="00454DBD">
            <w:pP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El área de Contabilidad informa que “</w:t>
            </w:r>
            <w:r w:rsidRPr="00A17B1B">
              <w:rPr>
                <w:rFonts w:asciiTheme="minorHAnsi" w:hAnsiTheme="minorHAnsi" w:cstheme="minorHAnsi"/>
                <w:i/>
                <w:sz w:val="16"/>
                <w:szCs w:val="16"/>
                <w:lang w:val="es-CO" w:eastAsia="es-CO"/>
              </w:rPr>
              <w:t>Se remiten conciliaciones bancarias de los meses diciembre de 2020 y febrero de 2021, Es importante tener en cuenta que una vez firmadas por el responsable del área contable se remiten por correo electrónico al área financiera para su aprobación y firma y posterior la jef</w:t>
            </w:r>
            <w:r w:rsidR="00454DBD">
              <w:rPr>
                <w:rFonts w:asciiTheme="minorHAnsi" w:hAnsiTheme="minorHAnsi" w:cstheme="minorHAnsi"/>
                <w:i/>
                <w:sz w:val="16"/>
                <w:szCs w:val="16"/>
                <w:lang w:val="es-CO" w:eastAsia="es-CO"/>
              </w:rPr>
              <w:t>a</w:t>
            </w:r>
            <w:r w:rsidRPr="00A17B1B">
              <w:rPr>
                <w:rFonts w:asciiTheme="minorHAnsi" w:hAnsiTheme="minorHAnsi" w:cstheme="minorHAnsi"/>
                <w:i/>
                <w:sz w:val="16"/>
                <w:szCs w:val="16"/>
                <w:lang w:val="es-CO" w:eastAsia="es-CO"/>
              </w:rPr>
              <w:t xml:space="preserve"> del área las envía al área de Tesorería para su conocimiento y</w:t>
            </w:r>
            <w:r w:rsidR="00454DBD">
              <w:rPr>
                <w:rFonts w:asciiTheme="minorHAnsi" w:hAnsiTheme="minorHAnsi" w:cstheme="minorHAnsi"/>
                <w:i/>
                <w:sz w:val="16"/>
                <w:szCs w:val="16"/>
                <w:lang w:val="es-CO" w:eastAsia="es-CO"/>
              </w:rPr>
              <w:t xml:space="preserve"> </w:t>
            </w:r>
            <w:r w:rsidRPr="00A17B1B">
              <w:rPr>
                <w:rFonts w:asciiTheme="minorHAnsi" w:hAnsiTheme="minorHAnsi" w:cstheme="minorHAnsi"/>
                <w:i/>
                <w:sz w:val="16"/>
                <w:szCs w:val="16"/>
                <w:lang w:val="es-CO" w:eastAsia="es-CO"/>
              </w:rPr>
              <w:t>fines pertinentes.”</w:t>
            </w:r>
          </w:p>
        </w:tc>
        <w:tc>
          <w:tcPr>
            <w:tcW w:w="3969" w:type="dxa"/>
            <w:vMerge/>
            <w:tcBorders>
              <w:left w:val="single" w:sz="4" w:space="0" w:color="auto"/>
              <w:bottom w:val="single" w:sz="4" w:space="0" w:color="000000"/>
              <w:right w:val="single" w:sz="4" w:space="0" w:color="auto"/>
            </w:tcBorders>
            <w:vAlign w:val="center"/>
            <w:hideMark/>
          </w:tcPr>
          <w:p w14:paraId="23A7B380" w14:textId="77777777" w:rsidR="00553411" w:rsidRPr="000B0F0A" w:rsidRDefault="00553411" w:rsidP="000B0F0A">
            <w:pPr>
              <w:rPr>
                <w:rFonts w:asciiTheme="minorHAnsi" w:hAnsiTheme="minorHAnsi" w:cstheme="minorHAnsi"/>
                <w:sz w:val="16"/>
                <w:szCs w:val="16"/>
                <w:lang w:val="es-CO" w:eastAsia="es-CO"/>
              </w:rPr>
            </w:pPr>
          </w:p>
        </w:tc>
      </w:tr>
      <w:tr w:rsidR="002C6C87" w:rsidRPr="000B0F0A" w14:paraId="4DB3E039" w14:textId="77777777" w:rsidTr="007C4117">
        <w:trPr>
          <w:trHeight w:val="2630"/>
        </w:trPr>
        <w:tc>
          <w:tcPr>
            <w:tcW w:w="317" w:type="dxa"/>
            <w:vMerge w:val="restart"/>
            <w:tcBorders>
              <w:top w:val="nil"/>
              <w:left w:val="single" w:sz="4" w:space="0" w:color="auto"/>
              <w:right w:val="single" w:sz="4" w:space="0" w:color="auto"/>
            </w:tcBorders>
            <w:shd w:val="clear" w:color="auto" w:fill="auto"/>
            <w:vAlign w:val="center"/>
            <w:hideMark/>
          </w:tcPr>
          <w:p w14:paraId="1001C253" w14:textId="77777777" w:rsidR="002C6C87" w:rsidRPr="000B0F0A" w:rsidRDefault="002C6C87"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3</w:t>
            </w:r>
          </w:p>
        </w:tc>
        <w:tc>
          <w:tcPr>
            <w:tcW w:w="954" w:type="dxa"/>
            <w:vMerge w:val="restart"/>
            <w:tcBorders>
              <w:top w:val="nil"/>
              <w:left w:val="nil"/>
              <w:right w:val="single" w:sz="4" w:space="0" w:color="auto"/>
            </w:tcBorders>
            <w:shd w:val="clear" w:color="auto" w:fill="auto"/>
            <w:vAlign w:val="center"/>
            <w:hideMark/>
          </w:tcPr>
          <w:p w14:paraId="2E88B635" w14:textId="77777777" w:rsidR="002C6C87" w:rsidRPr="000B0F0A" w:rsidRDefault="002C6C87"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Inversiones en administración de liquidez - CDT´S</w:t>
            </w:r>
          </w:p>
        </w:tc>
        <w:tc>
          <w:tcPr>
            <w:tcW w:w="3969" w:type="dxa"/>
            <w:vMerge w:val="restart"/>
            <w:tcBorders>
              <w:top w:val="nil"/>
              <w:left w:val="nil"/>
              <w:right w:val="single" w:sz="4" w:space="0" w:color="auto"/>
            </w:tcBorders>
            <w:shd w:val="clear" w:color="auto" w:fill="auto"/>
            <w:hideMark/>
          </w:tcPr>
          <w:p w14:paraId="4DC2D0BE" w14:textId="3C9C5842" w:rsidR="002C6C87" w:rsidRPr="005352D6" w:rsidRDefault="002C6C87" w:rsidP="00ED72C2">
            <w:pPr>
              <w:suppressAutoHyphens w:val="0"/>
              <w:autoSpaceDN/>
              <w:textAlignment w:val="auto"/>
              <w:rPr>
                <w:rFonts w:asciiTheme="minorHAnsi" w:hAnsiTheme="minorHAnsi" w:cstheme="minorHAnsi"/>
                <w:i/>
                <w:sz w:val="16"/>
                <w:szCs w:val="16"/>
                <w:lang w:val="es-CO" w:eastAsia="es-CO"/>
              </w:rPr>
            </w:pP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5352D6">
              <w:rPr>
                <w:rFonts w:asciiTheme="minorHAnsi" w:hAnsiTheme="minorHAnsi" w:cstheme="minorHAnsi"/>
                <w:i/>
                <w:sz w:val="16"/>
                <w:szCs w:val="16"/>
                <w:lang w:val="es-CO" w:eastAsia="es-CO"/>
              </w:rPr>
              <w:t>Realizar conciliación mensual de las Inversiones en administración de liquidez -CDTs:</w:t>
            </w:r>
            <w:r w:rsidRPr="005352D6">
              <w:rPr>
                <w:rFonts w:asciiTheme="minorHAnsi" w:hAnsiTheme="minorHAnsi" w:cstheme="minorHAnsi"/>
                <w:i/>
                <w:sz w:val="16"/>
                <w:szCs w:val="16"/>
                <w:lang w:val="es-CO" w:eastAsia="es-CO"/>
              </w:rPr>
              <w:br/>
              <w:t>1. El área de Tesorería envía a Contabilidad el extracto mensual de las inversiones de DECEVAL.</w:t>
            </w:r>
            <w:r w:rsidRPr="005352D6">
              <w:rPr>
                <w:rFonts w:asciiTheme="minorHAnsi" w:hAnsiTheme="minorHAnsi" w:cstheme="minorHAnsi"/>
                <w:i/>
                <w:sz w:val="16"/>
                <w:szCs w:val="16"/>
                <w:lang w:val="es-CO" w:eastAsia="es-CO"/>
              </w:rPr>
              <w:br/>
              <w:t xml:space="preserve">2. El área de Contabilidad remite al área de Tesorería el informe de la valoración de las inversiones (a costo amortizado) al cierre de cada mes, detallado por título y emisor, indicando número de título, valor nominal, valor actual, fuente de recursos y el saldo de las cuentas contables correspondientes, utilizando el formato </w:t>
            </w:r>
            <w:r w:rsidRPr="005352D6">
              <w:rPr>
                <w:rFonts w:asciiTheme="minorHAnsi" w:hAnsiTheme="minorHAnsi" w:cstheme="minorHAnsi"/>
                <w:i/>
                <w:sz w:val="16"/>
                <w:szCs w:val="16"/>
                <w:lang w:val="es-CO" w:eastAsia="es-CO"/>
              </w:rPr>
              <w:lastRenderedPageBreak/>
              <w:t>establecido, para  su revisión y correspondientes firmas.</w:t>
            </w:r>
            <w:r w:rsidRPr="005352D6">
              <w:rPr>
                <w:rFonts w:asciiTheme="minorHAnsi" w:hAnsiTheme="minorHAnsi" w:cstheme="minorHAnsi"/>
                <w:i/>
                <w:sz w:val="16"/>
                <w:szCs w:val="16"/>
                <w:lang w:val="es-CO" w:eastAsia="es-CO"/>
              </w:rPr>
              <w:br/>
            </w:r>
            <w:r w:rsidRPr="005352D6">
              <w:rPr>
                <w:rFonts w:asciiTheme="minorHAnsi" w:hAnsiTheme="minorHAnsi" w:cstheme="minorHAnsi"/>
                <w:i/>
                <w:sz w:val="16"/>
                <w:szCs w:val="16"/>
                <w:lang w:val="es-CO" w:eastAsia="es-CO"/>
              </w:rPr>
              <w:br/>
              <w:t xml:space="preserve"> </w:t>
            </w:r>
            <w:r w:rsidRPr="005352D6">
              <w:rPr>
                <w:rFonts w:asciiTheme="minorHAnsi" w:hAnsiTheme="minorHAnsi" w:cstheme="minorHAnsi"/>
                <w:b/>
                <w:bCs/>
                <w:i/>
                <w:sz w:val="16"/>
                <w:szCs w:val="16"/>
                <w:lang w:val="es-CO" w:eastAsia="es-CO"/>
              </w:rPr>
              <w:t xml:space="preserve">Informe anual para revelaciones: </w:t>
            </w:r>
            <w:r w:rsidRPr="005352D6">
              <w:rPr>
                <w:rFonts w:asciiTheme="minorHAnsi" w:hAnsiTheme="minorHAnsi" w:cstheme="minorHAnsi"/>
                <w:i/>
                <w:sz w:val="16"/>
                <w:szCs w:val="16"/>
                <w:lang w:val="es-CO" w:eastAsia="es-CO"/>
              </w:rPr>
              <w:br/>
            </w:r>
            <w:r w:rsidRPr="005352D6">
              <w:rPr>
                <w:rFonts w:asciiTheme="minorHAnsi" w:hAnsiTheme="minorHAnsi" w:cstheme="minorHAnsi"/>
                <w:i/>
                <w:sz w:val="16"/>
                <w:szCs w:val="16"/>
                <w:lang w:val="es-CO" w:eastAsia="es-CO"/>
              </w:rPr>
              <w:br/>
              <w:t xml:space="preserve">-Relación con el valor en Boletín de Tesorería y  las principales condiciones de </w:t>
            </w:r>
            <w:r w:rsidR="000A3C24" w:rsidRPr="005352D6">
              <w:rPr>
                <w:rFonts w:asciiTheme="minorHAnsi" w:hAnsiTheme="minorHAnsi" w:cstheme="minorHAnsi"/>
                <w:i/>
                <w:sz w:val="16"/>
                <w:szCs w:val="16"/>
                <w:lang w:val="es-CO" w:eastAsia="es-CO"/>
              </w:rPr>
              <w:t xml:space="preserve"> </w:t>
            </w:r>
            <w:r w:rsidRPr="005352D6">
              <w:rPr>
                <w:rFonts w:asciiTheme="minorHAnsi" w:hAnsiTheme="minorHAnsi" w:cstheme="minorHAnsi"/>
                <w:i/>
                <w:sz w:val="16"/>
                <w:szCs w:val="16"/>
                <w:lang w:val="es-CO" w:eastAsia="es-CO"/>
              </w:rPr>
              <w:t>la inversión  tales como, plazo, tasa de interés, vencimiento.</w:t>
            </w:r>
            <w:r w:rsidRPr="005352D6">
              <w:rPr>
                <w:rFonts w:asciiTheme="minorHAnsi" w:hAnsiTheme="minorHAnsi" w:cstheme="minorHAnsi"/>
                <w:i/>
                <w:sz w:val="16"/>
                <w:szCs w:val="16"/>
                <w:lang w:val="es-CO" w:eastAsia="es-CO"/>
              </w:rPr>
              <w:br/>
              <w:t>- Para las inversiones clasificadas al costo amortizado, se revelará el precio pagado; los costos de transacción reconocidos como    parte del valor del instrumento; la tasa de interés nominal; y la tasa de interés efectiva.</w:t>
            </w:r>
            <w:r w:rsidRPr="005352D6">
              <w:rPr>
                <w:rFonts w:asciiTheme="minorHAnsi" w:hAnsiTheme="minorHAnsi" w:cstheme="minorHAnsi"/>
                <w:i/>
                <w:sz w:val="16"/>
                <w:szCs w:val="16"/>
                <w:lang w:val="es-CO" w:eastAsia="es-CO"/>
              </w:rPr>
              <w:br/>
              <w:t>- Adicionalmente, el valor total de los ingresos por intereses calculados utilizando la tasa de interés efectiva.</w:t>
            </w:r>
            <w:r w:rsidRPr="005352D6">
              <w:rPr>
                <w:rFonts w:asciiTheme="minorHAnsi" w:hAnsiTheme="minorHAnsi" w:cstheme="minorHAnsi"/>
                <w:i/>
                <w:sz w:val="16"/>
                <w:szCs w:val="16"/>
                <w:lang w:val="es-CO" w:eastAsia="es-CO"/>
              </w:rPr>
              <w:br/>
              <w:t xml:space="preserve">- Remitir al área de Contabilidad, informe al final del cierre de la vigencia, si hay indicios de deterioro o reversión, en forma individualizada por título valor y </w:t>
            </w:r>
            <w:r w:rsidR="00403D91" w:rsidRPr="005352D6">
              <w:rPr>
                <w:rFonts w:asciiTheme="minorHAnsi" w:hAnsiTheme="minorHAnsi" w:cstheme="minorHAnsi"/>
                <w:i/>
                <w:sz w:val="16"/>
                <w:szCs w:val="16"/>
                <w:lang w:val="es-CO" w:eastAsia="es-CO"/>
              </w:rPr>
              <w:t>cuantificación, “Las</w:t>
            </w:r>
            <w:r w:rsidRPr="005352D6">
              <w:rPr>
                <w:rFonts w:asciiTheme="minorHAnsi" w:hAnsiTheme="minorHAnsi" w:cstheme="minorHAnsi"/>
                <w:i/>
                <w:sz w:val="16"/>
                <w:szCs w:val="16"/>
                <w:lang w:val="es-CO" w:eastAsia="es-CO"/>
              </w:rPr>
              <w:t xml:space="preserve"> inversiones de administración de liquidez clasificadas al costo amortizado serán objeto de estimaciones de deterioro cuando exista evidencia objetiva del incumplimiento de los pagos a cargo del emisor o del desmejoramiento de sus condiciones crediticias". </w:t>
            </w:r>
          </w:p>
        </w:tc>
        <w:tc>
          <w:tcPr>
            <w:tcW w:w="3544" w:type="dxa"/>
            <w:vMerge w:val="restart"/>
            <w:tcBorders>
              <w:top w:val="nil"/>
              <w:left w:val="nil"/>
              <w:right w:val="single" w:sz="4" w:space="0" w:color="auto"/>
            </w:tcBorders>
            <w:shd w:val="clear" w:color="auto" w:fill="auto"/>
            <w:vAlign w:val="center"/>
            <w:hideMark/>
          </w:tcPr>
          <w:p w14:paraId="2552545C" w14:textId="77777777" w:rsidR="007C4117" w:rsidRDefault="007C4117" w:rsidP="00ED72C2">
            <w:pPr>
              <w:suppressAutoHyphens w:val="0"/>
              <w:autoSpaceDN/>
              <w:textAlignment w:val="auto"/>
              <w:rPr>
                <w:rFonts w:asciiTheme="minorHAnsi" w:hAnsiTheme="minorHAnsi" w:cstheme="minorHAnsi"/>
                <w:b/>
                <w:bCs/>
                <w:color w:val="000000"/>
                <w:sz w:val="16"/>
                <w:szCs w:val="16"/>
                <w:lang w:val="es-CO" w:eastAsia="es-CO"/>
              </w:rPr>
            </w:pPr>
            <w:bookmarkStart w:id="14" w:name="RANGE!E10"/>
          </w:p>
          <w:p w14:paraId="6D348688" w14:textId="77777777" w:rsidR="007C4117" w:rsidRDefault="007C4117" w:rsidP="00ED72C2">
            <w:pPr>
              <w:suppressAutoHyphens w:val="0"/>
              <w:autoSpaceDN/>
              <w:textAlignment w:val="auto"/>
              <w:rPr>
                <w:rFonts w:asciiTheme="minorHAnsi" w:hAnsiTheme="minorHAnsi" w:cstheme="minorHAnsi"/>
                <w:b/>
                <w:bCs/>
                <w:color w:val="000000"/>
                <w:sz w:val="16"/>
                <w:szCs w:val="16"/>
                <w:lang w:val="es-CO" w:eastAsia="es-CO"/>
              </w:rPr>
            </w:pPr>
          </w:p>
          <w:p w14:paraId="67628701" w14:textId="77777777" w:rsidR="007C4117" w:rsidRDefault="007C4117" w:rsidP="00ED72C2">
            <w:pPr>
              <w:suppressAutoHyphens w:val="0"/>
              <w:autoSpaceDN/>
              <w:textAlignment w:val="auto"/>
              <w:rPr>
                <w:rFonts w:asciiTheme="minorHAnsi" w:hAnsiTheme="minorHAnsi" w:cstheme="minorHAnsi"/>
                <w:b/>
                <w:bCs/>
                <w:color w:val="000000"/>
                <w:sz w:val="16"/>
                <w:szCs w:val="16"/>
                <w:lang w:val="es-CO" w:eastAsia="es-CO"/>
              </w:rPr>
            </w:pPr>
          </w:p>
          <w:p w14:paraId="45CED96C" w14:textId="44AACC0A" w:rsidR="002C6C87" w:rsidRPr="000B0F0A" w:rsidRDefault="002C6C87" w:rsidP="00ED72C2">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b/>
                <w:bCs/>
                <w:color w:val="000000"/>
                <w:sz w:val="16"/>
                <w:szCs w:val="16"/>
                <w:lang w:val="es-CO" w:eastAsia="es-CO"/>
              </w:rPr>
              <w:t>12.2.3. Medición Inicial</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br/>
              <w:t>En el reconocimiento, las inversiones de administración de liquidez se medirán por el valor de mercado.</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b/>
                <w:bCs/>
                <w:color w:val="000000"/>
                <w:sz w:val="16"/>
                <w:szCs w:val="16"/>
                <w:lang w:val="es-CO" w:eastAsia="es-CO"/>
              </w:rPr>
              <w:t>12.2.6. Medición Posterior-</w:t>
            </w:r>
            <w:r w:rsidRPr="000B0F0A">
              <w:rPr>
                <w:rFonts w:asciiTheme="minorHAnsi" w:hAnsiTheme="minorHAnsi" w:cstheme="minorHAnsi"/>
                <w:b/>
                <w:bCs/>
                <w:color w:val="000000"/>
                <w:sz w:val="16"/>
                <w:szCs w:val="16"/>
                <w:lang w:val="es-CO" w:eastAsia="es-CO"/>
              </w:rPr>
              <w:br/>
              <w:t>Inversiones Clasificadas en la Categoría de Costo Amortizado</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lastRenderedPageBreak/>
              <w:t xml:space="preserve">Las inversiones clasificadas en la categoría de costo amortizado se medirán al costo amortizado. El costo amortizado corresponde al valor inicialmente reconocido más el rendimiento efectivo menos los pagos de capital e intereses menos cualquier disminución por deterioro del valor. </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br/>
              <w:t xml:space="preserve">La categoría de costo amortizado corresponde a las inversiones que la entidad tiene la intención y capacidad de conservar hasta su vencimiento, es decir, aquellas inversiones cuyos rendimientos provienen de los flujos contractuales del instrumento. </w:t>
            </w:r>
            <w:r w:rsidRPr="000B0F0A">
              <w:rPr>
                <w:rFonts w:asciiTheme="minorHAnsi" w:hAnsiTheme="minorHAnsi" w:cstheme="minorHAnsi"/>
                <w:b/>
                <w:bCs/>
                <w:color w:val="000000"/>
                <w:sz w:val="16"/>
                <w:szCs w:val="16"/>
                <w:lang w:val="es-CO" w:eastAsia="es-CO"/>
              </w:rPr>
              <w:br/>
            </w:r>
            <w:r w:rsidRPr="000B0F0A">
              <w:rPr>
                <w:rFonts w:asciiTheme="minorHAnsi" w:hAnsiTheme="minorHAnsi" w:cstheme="minorHAnsi"/>
                <w:b/>
                <w:bCs/>
                <w:color w:val="000000"/>
                <w:sz w:val="16"/>
                <w:szCs w:val="16"/>
                <w:lang w:val="es-CO" w:eastAsia="es-CO"/>
              </w:rPr>
              <w:br/>
              <w:t>12.2.6.1.1 Deterioro</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br/>
              <w:t xml:space="preserve">"Las inversiones de administración de liquidez clasificadas al costo amortizado serán objeto de estimaciones de deterioro cuando exista evidencia objetiva del incumplimiento de los pagos a cargo del emisor o del desmejoramiento de sus condiciones crediticias". </w:t>
            </w:r>
            <w:bookmarkEnd w:id="14"/>
          </w:p>
        </w:tc>
        <w:tc>
          <w:tcPr>
            <w:tcW w:w="1276" w:type="dxa"/>
            <w:tcBorders>
              <w:top w:val="nil"/>
              <w:left w:val="nil"/>
              <w:bottom w:val="single" w:sz="4" w:space="0" w:color="auto"/>
              <w:right w:val="single" w:sz="4" w:space="0" w:color="auto"/>
            </w:tcBorders>
            <w:shd w:val="clear" w:color="auto" w:fill="auto"/>
            <w:vAlign w:val="center"/>
            <w:hideMark/>
          </w:tcPr>
          <w:p w14:paraId="2B77DA41" w14:textId="393335EE" w:rsidR="002C6C87" w:rsidRPr="000B0F0A" w:rsidRDefault="002C6C87"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lastRenderedPageBreak/>
              <w:t>Tesorería</w:t>
            </w:r>
          </w:p>
        </w:tc>
        <w:tc>
          <w:tcPr>
            <w:tcW w:w="1984" w:type="dxa"/>
            <w:vMerge w:val="restart"/>
            <w:tcBorders>
              <w:top w:val="nil"/>
              <w:left w:val="nil"/>
              <w:right w:val="single" w:sz="4" w:space="0" w:color="auto"/>
            </w:tcBorders>
            <w:shd w:val="clear" w:color="auto" w:fill="auto"/>
            <w:vAlign w:val="center"/>
            <w:hideMark/>
          </w:tcPr>
          <w:p w14:paraId="5A0A4848" w14:textId="77777777" w:rsidR="007C4117" w:rsidRDefault="007C4117" w:rsidP="00ED72C2">
            <w:pPr>
              <w:suppressAutoHyphens w:val="0"/>
              <w:autoSpaceDN/>
              <w:jc w:val="center"/>
              <w:textAlignment w:val="auto"/>
              <w:rPr>
                <w:rFonts w:asciiTheme="minorHAnsi" w:hAnsiTheme="minorHAnsi" w:cstheme="minorHAnsi"/>
                <w:sz w:val="16"/>
                <w:szCs w:val="16"/>
                <w:lang w:val="es-CO" w:eastAsia="es-CO"/>
              </w:rPr>
            </w:pPr>
          </w:p>
          <w:p w14:paraId="74013046" w14:textId="77777777" w:rsidR="007C4117" w:rsidRDefault="007C4117" w:rsidP="00ED72C2">
            <w:pPr>
              <w:suppressAutoHyphens w:val="0"/>
              <w:autoSpaceDN/>
              <w:jc w:val="center"/>
              <w:textAlignment w:val="auto"/>
              <w:rPr>
                <w:rFonts w:asciiTheme="minorHAnsi" w:hAnsiTheme="minorHAnsi" w:cstheme="minorHAnsi"/>
                <w:sz w:val="16"/>
                <w:szCs w:val="16"/>
                <w:lang w:val="es-CO" w:eastAsia="es-CO"/>
              </w:rPr>
            </w:pPr>
          </w:p>
          <w:p w14:paraId="484FDB6F" w14:textId="77777777" w:rsidR="007C4117" w:rsidRDefault="007C4117" w:rsidP="00ED72C2">
            <w:pPr>
              <w:suppressAutoHyphens w:val="0"/>
              <w:autoSpaceDN/>
              <w:jc w:val="center"/>
              <w:textAlignment w:val="auto"/>
              <w:rPr>
                <w:rFonts w:asciiTheme="minorHAnsi" w:hAnsiTheme="minorHAnsi" w:cstheme="minorHAnsi"/>
                <w:sz w:val="16"/>
                <w:szCs w:val="16"/>
                <w:lang w:val="es-CO" w:eastAsia="es-CO"/>
              </w:rPr>
            </w:pPr>
          </w:p>
          <w:p w14:paraId="1B3DBD3E" w14:textId="77777777" w:rsidR="007C4117" w:rsidRDefault="007C4117" w:rsidP="00ED72C2">
            <w:pPr>
              <w:suppressAutoHyphens w:val="0"/>
              <w:autoSpaceDN/>
              <w:jc w:val="center"/>
              <w:textAlignment w:val="auto"/>
              <w:rPr>
                <w:rFonts w:asciiTheme="minorHAnsi" w:hAnsiTheme="minorHAnsi" w:cstheme="minorHAnsi"/>
                <w:sz w:val="16"/>
                <w:szCs w:val="16"/>
                <w:lang w:val="es-CO" w:eastAsia="es-CO"/>
              </w:rPr>
            </w:pPr>
          </w:p>
          <w:p w14:paraId="59028F59" w14:textId="77777777" w:rsidR="007C4117" w:rsidRDefault="007C4117" w:rsidP="00ED72C2">
            <w:pPr>
              <w:suppressAutoHyphens w:val="0"/>
              <w:autoSpaceDN/>
              <w:jc w:val="center"/>
              <w:textAlignment w:val="auto"/>
              <w:rPr>
                <w:rFonts w:asciiTheme="minorHAnsi" w:hAnsiTheme="minorHAnsi" w:cstheme="minorHAnsi"/>
                <w:sz w:val="16"/>
                <w:szCs w:val="16"/>
                <w:lang w:val="es-CO" w:eastAsia="es-CO"/>
              </w:rPr>
            </w:pPr>
          </w:p>
          <w:p w14:paraId="64F883AA" w14:textId="77777777" w:rsidR="007C4117" w:rsidRDefault="007C4117" w:rsidP="00ED72C2">
            <w:pPr>
              <w:suppressAutoHyphens w:val="0"/>
              <w:autoSpaceDN/>
              <w:jc w:val="center"/>
              <w:textAlignment w:val="auto"/>
              <w:rPr>
                <w:rFonts w:asciiTheme="minorHAnsi" w:hAnsiTheme="minorHAnsi" w:cstheme="minorHAnsi"/>
                <w:sz w:val="16"/>
                <w:szCs w:val="16"/>
                <w:lang w:val="es-CO" w:eastAsia="es-CO"/>
              </w:rPr>
            </w:pPr>
          </w:p>
          <w:p w14:paraId="2AE4F902" w14:textId="77777777" w:rsidR="00932251" w:rsidRDefault="002C6C87"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br/>
            </w:r>
            <w:r>
              <w:rPr>
                <w:rFonts w:asciiTheme="minorHAnsi" w:hAnsiTheme="minorHAnsi" w:cstheme="minorHAnsi"/>
                <w:sz w:val="16"/>
                <w:szCs w:val="16"/>
                <w:lang w:val="es-CO" w:eastAsia="es-CO"/>
              </w:rPr>
              <w:br/>
            </w:r>
            <w:r>
              <w:rPr>
                <w:rFonts w:asciiTheme="minorHAnsi" w:hAnsiTheme="minorHAnsi" w:cstheme="minorHAnsi"/>
                <w:sz w:val="16"/>
                <w:szCs w:val="16"/>
                <w:lang w:val="es-CO" w:eastAsia="es-CO"/>
              </w:rPr>
              <w:br/>
            </w:r>
            <w:r>
              <w:rPr>
                <w:rFonts w:asciiTheme="minorHAnsi" w:hAnsiTheme="minorHAnsi" w:cstheme="minorHAnsi"/>
                <w:sz w:val="16"/>
                <w:szCs w:val="16"/>
                <w:lang w:val="es-CO" w:eastAsia="es-CO"/>
              </w:rPr>
              <w:br/>
              <w:t>Mensualmente</w:t>
            </w:r>
            <w:r>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p>
          <w:p w14:paraId="6CE83214" w14:textId="77777777" w:rsidR="00932251" w:rsidRDefault="00932251" w:rsidP="00ED72C2">
            <w:pPr>
              <w:suppressAutoHyphens w:val="0"/>
              <w:autoSpaceDN/>
              <w:jc w:val="center"/>
              <w:textAlignment w:val="auto"/>
              <w:rPr>
                <w:rFonts w:asciiTheme="minorHAnsi" w:hAnsiTheme="minorHAnsi" w:cstheme="minorHAnsi"/>
                <w:sz w:val="16"/>
                <w:szCs w:val="16"/>
                <w:lang w:val="es-CO" w:eastAsia="es-CO"/>
              </w:rPr>
            </w:pPr>
          </w:p>
          <w:p w14:paraId="3D0F647D" w14:textId="77777777" w:rsidR="00932251" w:rsidRDefault="00932251" w:rsidP="00ED72C2">
            <w:pPr>
              <w:suppressAutoHyphens w:val="0"/>
              <w:autoSpaceDN/>
              <w:jc w:val="center"/>
              <w:textAlignment w:val="auto"/>
              <w:rPr>
                <w:rFonts w:asciiTheme="minorHAnsi" w:hAnsiTheme="minorHAnsi" w:cstheme="minorHAnsi"/>
                <w:sz w:val="16"/>
                <w:szCs w:val="16"/>
                <w:lang w:val="es-CO" w:eastAsia="es-CO"/>
              </w:rPr>
            </w:pPr>
          </w:p>
          <w:p w14:paraId="76711C0A" w14:textId="77777777" w:rsidR="00932251" w:rsidRDefault="00932251" w:rsidP="00ED72C2">
            <w:pPr>
              <w:suppressAutoHyphens w:val="0"/>
              <w:autoSpaceDN/>
              <w:jc w:val="center"/>
              <w:textAlignment w:val="auto"/>
              <w:rPr>
                <w:rFonts w:asciiTheme="minorHAnsi" w:hAnsiTheme="minorHAnsi" w:cstheme="minorHAnsi"/>
                <w:sz w:val="16"/>
                <w:szCs w:val="16"/>
                <w:lang w:val="es-CO" w:eastAsia="es-CO"/>
              </w:rPr>
            </w:pPr>
          </w:p>
          <w:p w14:paraId="1329A88C" w14:textId="77777777" w:rsidR="00932251" w:rsidRDefault="00932251" w:rsidP="00ED72C2">
            <w:pPr>
              <w:suppressAutoHyphens w:val="0"/>
              <w:autoSpaceDN/>
              <w:jc w:val="center"/>
              <w:textAlignment w:val="auto"/>
              <w:rPr>
                <w:rFonts w:asciiTheme="minorHAnsi" w:hAnsiTheme="minorHAnsi" w:cstheme="minorHAnsi"/>
                <w:sz w:val="16"/>
                <w:szCs w:val="16"/>
                <w:lang w:val="es-CO" w:eastAsia="es-CO"/>
              </w:rPr>
            </w:pPr>
          </w:p>
          <w:p w14:paraId="4B2CA79A" w14:textId="77777777" w:rsidR="00932251" w:rsidRDefault="00932251" w:rsidP="00ED72C2">
            <w:pPr>
              <w:suppressAutoHyphens w:val="0"/>
              <w:autoSpaceDN/>
              <w:jc w:val="center"/>
              <w:textAlignment w:val="auto"/>
              <w:rPr>
                <w:rFonts w:asciiTheme="minorHAnsi" w:hAnsiTheme="minorHAnsi" w:cstheme="minorHAnsi"/>
                <w:sz w:val="16"/>
                <w:szCs w:val="16"/>
                <w:lang w:val="es-CO" w:eastAsia="es-CO"/>
              </w:rPr>
            </w:pPr>
          </w:p>
          <w:p w14:paraId="0D2611A4" w14:textId="77777777" w:rsidR="00932251" w:rsidRDefault="00932251" w:rsidP="00ED72C2">
            <w:pPr>
              <w:suppressAutoHyphens w:val="0"/>
              <w:autoSpaceDN/>
              <w:jc w:val="center"/>
              <w:textAlignment w:val="auto"/>
              <w:rPr>
                <w:rFonts w:asciiTheme="minorHAnsi" w:hAnsiTheme="minorHAnsi" w:cstheme="minorHAnsi"/>
                <w:sz w:val="16"/>
                <w:szCs w:val="16"/>
                <w:lang w:val="es-CO" w:eastAsia="es-CO"/>
              </w:rPr>
            </w:pPr>
          </w:p>
          <w:p w14:paraId="301E1AEA" w14:textId="77777777" w:rsidR="00932251" w:rsidRDefault="00932251" w:rsidP="00ED72C2">
            <w:pPr>
              <w:suppressAutoHyphens w:val="0"/>
              <w:autoSpaceDN/>
              <w:jc w:val="center"/>
              <w:textAlignment w:val="auto"/>
              <w:rPr>
                <w:rFonts w:asciiTheme="minorHAnsi" w:hAnsiTheme="minorHAnsi" w:cstheme="minorHAnsi"/>
                <w:sz w:val="16"/>
                <w:szCs w:val="16"/>
                <w:lang w:val="es-CO" w:eastAsia="es-CO"/>
              </w:rPr>
            </w:pPr>
          </w:p>
          <w:p w14:paraId="2FFCB72C" w14:textId="7D18811C" w:rsidR="002C6C87" w:rsidRPr="000B0F0A" w:rsidRDefault="002C6C87"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Anualmente</w:t>
            </w:r>
          </w:p>
        </w:tc>
        <w:tc>
          <w:tcPr>
            <w:tcW w:w="1559" w:type="dxa"/>
            <w:tcBorders>
              <w:top w:val="nil"/>
              <w:left w:val="nil"/>
              <w:bottom w:val="single" w:sz="4" w:space="0" w:color="auto"/>
              <w:right w:val="single" w:sz="4" w:space="0" w:color="auto"/>
            </w:tcBorders>
            <w:shd w:val="clear" w:color="auto" w:fill="auto"/>
            <w:vAlign w:val="center"/>
            <w:hideMark/>
          </w:tcPr>
          <w:p w14:paraId="0D0BD85F" w14:textId="165C86FE" w:rsidR="002C6C87" w:rsidRPr="000B0F0A" w:rsidRDefault="002C6C87" w:rsidP="00ED72C2">
            <w:pPr>
              <w:suppressAutoHyphens w:val="0"/>
              <w:autoSpaceDN/>
              <w:jc w:val="center"/>
              <w:textAlignment w:val="auto"/>
              <w:rPr>
                <w:rFonts w:asciiTheme="minorHAnsi" w:hAnsiTheme="minorHAnsi" w:cstheme="minorHAnsi"/>
                <w:sz w:val="16"/>
                <w:szCs w:val="16"/>
                <w:lang w:val="es-CO" w:eastAsia="es-CO"/>
              </w:rPr>
            </w:pPr>
            <w:r w:rsidRPr="00C8130F">
              <w:rPr>
                <w:rFonts w:asciiTheme="minorHAnsi" w:hAnsiTheme="minorHAnsi" w:cstheme="minorHAnsi"/>
                <w:sz w:val="16"/>
                <w:szCs w:val="16"/>
                <w:lang w:val="es-CO" w:eastAsia="es-CO"/>
              </w:rPr>
              <w:lastRenderedPageBreak/>
              <w:t>20213320125753</w:t>
            </w:r>
          </w:p>
        </w:tc>
        <w:tc>
          <w:tcPr>
            <w:tcW w:w="993" w:type="dxa"/>
            <w:vMerge w:val="restart"/>
            <w:tcBorders>
              <w:top w:val="nil"/>
              <w:left w:val="nil"/>
              <w:right w:val="single" w:sz="4" w:space="0" w:color="auto"/>
            </w:tcBorders>
            <w:shd w:val="clear" w:color="auto" w:fill="92D050"/>
            <w:vAlign w:val="center"/>
            <w:hideMark/>
          </w:tcPr>
          <w:p w14:paraId="156CFE44" w14:textId="26775007" w:rsidR="002C6C87" w:rsidRDefault="00B00425" w:rsidP="00B00425">
            <w:pPr>
              <w:shd w:val="clear" w:color="auto" w:fill="92D050"/>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SÍ</w:t>
            </w:r>
          </w:p>
          <w:p w14:paraId="1A786FA2" w14:textId="54DB3A63" w:rsidR="00E73638" w:rsidRPr="000B0F0A" w:rsidRDefault="00B00425" w:rsidP="00B00425">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r w:rsidR="009C1CF8">
              <w:rPr>
                <w:rFonts w:asciiTheme="minorHAnsi" w:hAnsiTheme="minorHAnsi" w:cstheme="minorHAnsi"/>
                <w:sz w:val="16"/>
                <w:szCs w:val="16"/>
                <w:lang w:val="es-CO" w:eastAsia="es-CO"/>
              </w:rPr>
              <w:t>%</w:t>
            </w:r>
          </w:p>
        </w:tc>
        <w:tc>
          <w:tcPr>
            <w:tcW w:w="4110" w:type="dxa"/>
            <w:tcBorders>
              <w:top w:val="nil"/>
              <w:left w:val="nil"/>
              <w:bottom w:val="single" w:sz="4" w:space="0" w:color="auto"/>
              <w:right w:val="single" w:sz="4" w:space="0" w:color="auto"/>
            </w:tcBorders>
            <w:shd w:val="clear" w:color="auto" w:fill="auto"/>
            <w:noWrap/>
            <w:vAlign w:val="center"/>
            <w:hideMark/>
          </w:tcPr>
          <w:p w14:paraId="195F5965" w14:textId="21C24EE4" w:rsidR="002C6C87" w:rsidRPr="00ED72C2" w:rsidRDefault="002C6C87" w:rsidP="00ED72C2">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w:t>
            </w:r>
            <w:r>
              <w:rPr>
                <w:rFonts w:asciiTheme="minorHAnsi" w:hAnsiTheme="minorHAnsi" w:cstheme="minorHAnsi"/>
                <w:sz w:val="16"/>
                <w:szCs w:val="16"/>
                <w:lang w:val="es-CO" w:eastAsia="es-CO"/>
              </w:rPr>
              <w:t xml:space="preserve">Tesorería  informa que </w:t>
            </w:r>
            <w:r w:rsidRPr="00FA25A0">
              <w:rPr>
                <w:rFonts w:asciiTheme="minorHAnsi" w:hAnsiTheme="minorHAnsi" w:cstheme="minorHAnsi"/>
                <w:i/>
                <w:sz w:val="16"/>
                <w:szCs w:val="16"/>
                <w:lang w:val="es-CO" w:eastAsia="es-CO"/>
              </w:rPr>
              <w:t>remite “Correos electrónicos de las conciliaciones de CDTS de diciembre 2020 y febrero 2021, Correo electrónico remitiendo Notas efectivo y el CDT diligenciado, estos dos últimos también van anexos.”</w:t>
            </w:r>
          </w:p>
        </w:tc>
        <w:tc>
          <w:tcPr>
            <w:tcW w:w="3969" w:type="dxa"/>
            <w:vMerge w:val="restart"/>
            <w:tcBorders>
              <w:top w:val="nil"/>
              <w:left w:val="nil"/>
              <w:right w:val="single" w:sz="4" w:space="0" w:color="auto"/>
            </w:tcBorders>
            <w:shd w:val="clear" w:color="auto" w:fill="auto"/>
            <w:noWrap/>
            <w:vAlign w:val="center"/>
            <w:hideMark/>
          </w:tcPr>
          <w:p w14:paraId="1D7B1C08" w14:textId="77777777" w:rsidR="007C4117" w:rsidRDefault="007C4117" w:rsidP="007C4117">
            <w:pPr>
              <w:pStyle w:val="Default"/>
              <w:jc w:val="both"/>
              <w:rPr>
                <w:rFonts w:asciiTheme="minorHAnsi" w:hAnsiTheme="minorHAnsi" w:cstheme="minorHAnsi"/>
                <w:b/>
                <w:bCs/>
                <w:sz w:val="16"/>
                <w:szCs w:val="16"/>
              </w:rPr>
            </w:pPr>
          </w:p>
          <w:p w14:paraId="421F201F" w14:textId="7C672ECB" w:rsidR="00FB6352" w:rsidRPr="002E12C1" w:rsidRDefault="005A05A3" w:rsidP="007C4117">
            <w:pPr>
              <w:pStyle w:val="Default"/>
              <w:jc w:val="both"/>
              <w:rPr>
                <w:rFonts w:asciiTheme="minorHAnsi" w:hAnsiTheme="minorHAnsi" w:cstheme="minorHAnsi"/>
                <w:b/>
                <w:bCs/>
                <w:sz w:val="16"/>
                <w:szCs w:val="16"/>
              </w:rPr>
            </w:pPr>
            <w:r>
              <w:rPr>
                <w:rFonts w:asciiTheme="minorHAnsi" w:hAnsiTheme="minorHAnsi" w:cstheme="minorHAnsi"/>
                <w:b/>
                <w:bCs/>
                <w:sz w:val="16"/>
                <w:szCs w:val="16"/>
              </w:rPr>
              <w:t>EXTRACTO MENSUAL INVERSIONES DECE</w:t>
            </w:r>
            <w:r w:rsidR="00144ED1">
              <w:rPr>
                <w:rFonts w:asciiTheme="minorHAnsi" w:hAnsiTheme="minorHAnsi" w:cstheme="minorHAnsi"/>
                <w:b/>
                <w:bCs/>
                <w:sz w:val="16"/>
                <w:szCs w:val="16"/>
              </w:rPr>
              <w:t>V</w:t>
            </w:r>
            <w:r>
              <w:rPr>
                <w:rFonts w:asciiTheme="minorHAnsi" w:hAnsiTheme="minorHAnsi" w:cstheme="minorHAnsi"/>
                <w:b/>
                <w:bCs/>
                <w:sz w:val="16"/>
                <w:szCs w:val="16"/>
              </w:rPr>
              <w:t>AL</w:t>
            </w:r>
          </w:p>
          <w:p w14:paraId="2103EEA9" w14:textId="1DD3B49A" w:rsidR="007B73CA" w:rsidRDefault="005A05A3" w:rsidP="007C4117">
            <w:pPr>
              <w:pStyle w:val="Default"/>
              <w:jc w:val="both"/>
              <w:rPr>
                <w:rFonts w:asciiTheme="minorHAnsi" w:hAnsiTheme="minorHAnsi" w:cstheme="minorHAnsi"/>
                <w:sz w:val="16"/>
                <w:szCs w:val="16"/>
              </w:rPr>
            </w:pPr>
            <w:r>
              <w:rPr>
                <w:rFonts w:asciiTheme="minorHAnsi" w:hAnsiTheme="minorHAnsi" w:cstheme="minorHAnsi"/>
                <w:sz w:val="16"/>
                <w:szCs w:val="16"/>
              </w:rPr>
              <w:t>Se observó remisión al área contable del extracto</w:t>
            </w:r>
            <w:r w:rsidR="007B73CA">
              <w:rPr>
                <w:rFonts w:asciiTheme="minorHAnsi" w:hAnsiTheme="minorHAnsi" w:cstheme="minorHAnsi"/>
                <w:sz w:val="16"/>
                <w:szCs w:val="16"/>
              </w:rPr>
              <w:t xml:space="preserve"> de las </w:t>
            </w:r>
            <w:r w:rsidR="00951D4C">
              <w:rPr>
                <w:rFonts w:asciiTheme="minorHAnsi" w:hAnsiTheme="minorHAnsi" w:cstheme="minorHAnsi"/>
                <w:sz w:val="16"/>
                <w:szCs w:val="16"/>
              </w:rPr>
              <w:t>inversiones al cierre de</w:t>
            </w:r>
            <w:r w:rsidR="00B00425">
              <w:rPr>
                <w:rFonts w:asciiTheme="minorHAnsi" w:hAnsiTheme="minorHAnsi" w:cstheme="minorHAnsi"/>
                <w:sz w:val="16"/>
                <w:szCs w:val="16"/>
              </w:rPr>
              <w:t xml:space="preserve"> ene, feb y</w:t>
            </w:r>
            <w:r w:rsidR="00951D4C">
              <w:rPr>
                <w:rFonts w:asciiTheme="minorHAnsi" w:hAnsiTheme="minorHAnsi" w:cstheme="minorHAnsi"/>
                <w:sz w:val="16"/>
                <w:szCs w:val="16"/>
              </w:rPr>
              <w:t xml:space="preserve"> </w:t>
            </w:r>
            <w:r w:rsidR="00B00425">
              <w:rPr>
                <w:rFonts w:asciiTheme="minorHAnsi" w:hAnsiTheme="minorHAnsi" w:cstheme="minorHAnsi"/>
                <w:sz w:val="16"/>
                <w:szCs w:val="16"/>
              </w:rPr>
              <w:t>mar</w:t>
            </w:r>
            <w:r w:rsidR="00951D4C">
              <w:rPr>
                <w:rFonts w:asciiTheme="minorHAnsi" w:hAnsiTheme="minorHAnsi" w:cstheme="minorHAnsi"/>
                <w:sz w:val="16"/>
                <w:szCs w:val="16"/>
              </w:rPr>
              <w:t>-21</w:t>
            </w:r>
            <w:r w:rsidR="007B73CA">
              <w:rPr>
                <w:rFonts w:asciiTheme="minorHAnsi" w:hAnsiTheme="minorHAnsi" w:cstheme="minorHAnsi"/>
                <w:sz w:val="16"/>
                <w:szCs w:val="16"/>
              </w:rPr>
              <w:t xml:space="preserve"> emitido por</w:t>
            </w:r>
            <w:r>
              <w:rPr>
                <w:rFonts w:asciiTheme="minorHAnsi" w:hAnsiTheme="minorHAnsi" w:cstheme="minorHAnsi"/>
                <w:sz w:val="16"/>
                <w:szCs w:val="16"/>
              </w:rPr>
              <w:t xml:space="preserve"> DECEVAL con la conciliación respectiva.</w:t>
            </w:r>
          </w:p>
          <w:p w14:paraId="5F5F5AEC" w14:textId="77777777" w:rsidR="00FB6352" w:rsidRDefault="00FB6352" w:rsidP="007C4117">
            <w:pPr>
              <w:pStyle w:val="Default"/>
              <w:jc w:val="both"/>
              <w:rPr>
                <w:rFonts w:asciiTheme="minorHAnsi" w:hAnsiTheme="minorHAnsi" w:cstheme="minorHAnsi"/>
                <w:b/>
                <w:bCs/>
                <w:sz w:val="16"/>
                <w:szCs w:val="16"/>
              </w:rPr>
            </w:pPr>
          </w:p>
          <w:p w14:paraId="1F33EADC" w14:textId="5819140B" w:rsidR="00FB6352" w:rsidRPr="00FB6352" w:rsidRDefault="000F50DE" w:rsidP="007C4117">
            <w:pPr>
              <w:pStyle w:val="Default"/>
              <w:jc w:val="both"/>
              <w:rPr>
                <w:rFonts w:asciiTheme="minorHAnsi" w:hAnsiTheme="minorHAnsi" w:cstheme="minorHAnsi"/>
                <w:sz w:val="16"/>
                <w:szCs w:val="16"/>
              </w:rPr>
            </w:pPr>
            <w:r>
              <w:rPr>
                <w:rFonts w:asciiTheme="minorHAnsi" w:hAnsiTheme="minorHAnsi" w:cstheme="minorHAnsi"/>
                <w:b/>
                <w:bCs/>
                <w:sz w:val="16"/>
                <w:szCs w:val="16"/>
              </w:rPr>
              <w:t>INFORME DE VALORACIÓN DE LAS INVERSIONES</w:t>
            </w:r>
          </w:p>
          <w:p w14:paraId="25C5B0FF" w14:textId="5DC44D10" w:rsidR="000F50DE" w:rsidRPr="00FB6352" w:rsidRDefault="000F50DE" w:rsidP="007C4117">
            <w:pPr>
              <w:pStyle w:val="Default"/>
              <w:jc w:val="both"/>
              <w:rPr>
                <w:rFonts w:asciiTheme="minorHAnsi" w:hAnsiTheme="minorHAnsi" w:cstheme="minorHAnsi"/>
                <w:sz w:val="16"/>
                <w:szCs w:val="16"/>
              </w:rPr>
            </w:pPr>
            <w:r>
              <w:rPr>
                <w:rFonts w:asciiTheme="minorHAnsi" w:hAnsiTheme="minorHAnsi" w:cstheme="minorHAnsi"/>
                <w:sz w:val="16"/>
                <w:szCs w:val="16"/>
              </w:rPr>
              <w:t xml:space="preserve">Fue suministrado por el área contable </w:t>
            </w:r>
            <w:r w:rsidR="00951D4C">
              <w:rPr>
                <w:rFonts w:asciiTheme="minorHAnsi" w:hAnsiTheme="minorHAnsi" w:cstheme="minorHAnsi"/>
                <w:sz w:val="16"/>
                <w:szCs w:val="16"/>
              </w:rPr>
              <w:t>para los meses de dic-2020 y feb-2021</w:t>
            </w:r>
            <w:r w:rsidR="00370719">
              <w:rPr>
                <w:rFonts w:asciiTheme="minorHAnsi" w:hAnsiTheme="minorHAnsi" w:cstheme="minorHAnsi"/>
                <w:sz w:val="16"/>
                <w:szCs w:val="16"/>
              </w:rPr>
              <w:t>,</w:t>
            </w:r>
            <w:r w:rsidR="00951D4C">
              <w:rPr>
                <w:rFonts w:asciiTheme="minorHAnsi" w:hAnsiTheme="minorHAnsi" w:cstheme="minorHAnsi"/>
                <w:sz w:val="16"/>
                <w:szCs w:val="16"/>
              </w:rPr>
              <w:t xml:space="preserve"> el documento </w:t>
            </w:r>
            <w:r w:rsidR="00951D4C" w:rsidRPr="00951D4C">
              <w:rPr>
                <w:rFonts w:asciiTheme="minorHAnsi" w:hAnsiTheme="minorHAnsi" w:cstheme="minorHAnsi"/>
                <w:sz w:val="16"/>
                <w:szCs w:val="16"/>
              </w:rPr>
              <w:t>CONTROL CAUSACION RENDIMIENTOS CDTS</w:t>
            </w:r>
            <w:r w:rsidR="00951D4C">
              <w:rPr>
                <w:rFonts w:asciiTheme="minorHAnsi" w:hAnsiTheme="minorHAnsi" w:cstheme="minorHAnsi"/>
                <w:sz w:val="16"/>
                <w:szCs w:val="16"/>
              </w:rPr>
              <w:t xml:space="preserve"> firmado por el Contado</w:t>
            </w:r>
            <w:r w:rsidR="00370719">
              <w:rPr>
                <w:rFonts w:asciiTheme="minorHAnsi" w:hAnsiTheme="minorHAnsi" w:cstheme="minorHAnsi"/>
                <w:sz w:val="16"/>
                <w:szCs w:val="16"/>
              </w:rPr>
              <w:t>r y la Tesorera General del IDRD</w:t>
            </w:r>
            <w:r w:rsidR="00FC51B1">
              <w:rPr>
                <w:rFonts w:asciiTheme="minorHAnsi" w:hAnsiTheme="minorHAnsi" w:cstheme="minorHAnsi"/>
                <w:sz w:val="16"/>
                <w:szCs w:val="16"/>
              </w:rPr>
              <w:t xml:space="preserve"> en el que se observa el emisor, el número del título, la fuente del recurso, valor y rendimientos</w:t>
            </w:r>
            <w:r w:rsidR="000A3C24">
              <w:rPr>
                <w:rFonts w:asciiTheme="minorHAnsi" w:hAnsiTheme="minorHAnsi" w:cstheme="minorHAnsi"/>
                <w:sz w:val="16"/>
                <w:szCs w:val="16"/>
              </w:rPr>
              <w:t>, entre otros, cumpliendo con la ejecución de la actividad</w:t>
            </w:r>
            <w:r w:rsidR="00BE1B3B">
              <w:rPr>
                <w:rFonts w:asciiTheme="minorHAnsi" w:hAnsiTheme="minorHAnsi" w:cstheme="minorHAnsi"/>
                <w:sz w:val="16"/>
                <w:szCs w:val="16"/>
              </w:rPr>
              <w:t>.</w:t>
            </w:r>
          </w:p>
          <w:p w14:paraId="795BDAB5" w14:textId="309E4F4C" w:rsidR="00FB6352" w:rsidRPr="00FB6352" w:rsidRDefault="00FB6352" w:rsidP="007C4117">
            <w:pPr>
              <w:pStyle w:val="Default"/>
              <w:jc w:val="both"/>
              <w:rPr>
                <w:rFonts w:asciiTheme="minorHAnsi" w:hAnsiTheme="minorHAnsi" w:cstheme="minorHAnsi"/>
                <w:sz w:val="16"/>
                <w:szCs w:val="16"/>
              </w:rPr>
            </w:pPr>
          </w:p>
          <w:p w14:paraId="0A87B85E" w14:textId="104300B3" w:rsidR="002E12C1" w:rsidRDefault="002E12C1" w:rsidP="007C4117">
            <w:pPr>
              <w:suppressAutoHyphens w:val="0"/>
              <w:autoSpaceDN/>
              <w:textAlignment w:val="auto"/>
              <w:rPr>
                <w:rFonts w:asciiTheme="minorHAnsi" w:hAnsiTheme="minorHAnsi" w:cstheme="minorHAnsi"/>
                <w:b/>
                <w:bCs/>
                <w:sz w:val="16"/>
                <w:szCs w:val="16"/>
              </w:rPr>
            </w:pPr>
            <w:r>
              <w:rPr>
                <w:rFonts w:asciiTheme="minorHAnsi" w:hAnsiTheme="minorHAnsi" w:cstheme="minorHAnsi"/>
                <w:b/>
                <w:bCs/>
                <w:sz w:val="16"/>
                <w:szCs w:val="16"/>
              </w:rPr>
              <w:t>INFORME ANUAL PARA REVELACIONE</w:t>
            </w:r>
            <w:r w:rsidR="00CE325F">
              <w:rPr>
                <w:rFonts w:asciiTheme="minorHAnsi" w:hAnsiTheme="minorHAnsi" w:cstheme="minorHAnsi"/>
                <w:b/>
                <w:bCs/>
                <w:sz w:val="16"/>
                <w:szCs w:val="16"/>
              </w:rPr>
              <w:t>S</w:t>
            </w:r>
          </w:p>
          <w:p w14:paraId="0FC32480" w14:textId="7335EAEC" w:rsidR="002E12C1" w:rsidRDefault="002E12C1" w:rsidP="007C4117">
            <w:pPr>
              <w:suppressAutoHyphens w:val="0"/>
              <w:autoSpaceDN/>
              <w:textAlignment w:val="auto"/>
              <w:rPr>
                <w:rFonts w:asciiTheme="minorHAnsi" w:hAnsiTheme="minorHAnsi" w:cstheme="minorHAnsi"/>
                <w:bCs/>
                <w:sz w:val="16"/>
                <w:szCs w:val="16"/>
              </w:rPr>
            </w:pPr>
            <w:r>
              <w:rPr>
                <w:rFonts w:asciiTheme="minorHAnsi" w:hAnsiTheme="minorHAnsi" w:cstheme="minorHAnsi"/>
                <w:bCs/>
                <w:sz w:val="16"/>
                <w:szCs w:val="16"/>
              </w:rPr>
              <w:t>S</w:t>
            </w:r>
            <w:r w:rsidR="00BE1B3B">
              <w:rPr>
                <w:rFonts w:asciiTheme="minorHAnsi" w:hAnsiTheme="minorHAnsi" w:cstheme="minorHAnsi"/>
                <w:bCs/>
                <w:sz w:val="16"/>
                <w:szCs w:val="16"/>
              </w:rPr>
              <w:t>e evidenció soporte del correo remisorio</w:t>
            </w:r>
            <w:r>
              <w:rPr>
                <w:rFonts w:asciiTheme="minorHAnsi" w:hAnsiTheme="minorHAnsi" w:cstheme="minorHAnsi"/>
                <w:bCs/>
                <w:sz w:val="16"/>
                <w:szCs w:val="16"/>
              </w:rPr>
              <w:t xml:space="preserve"> al área contable de las notas</w:t>
            </w:r>
            <w:r w:rsidR="00EB7287">
              <w:rPr>
                <w:rFonts w:asciiTheme="minorHAnsi" w:hAnsiTheme="minorHAnsi" w:cstheme="minorHAnsi"/>
                <w:bCs/>
                <w:sz w:val="16"/>
                <w:szCs w:val="16"/>
              </w:rPr>
              <w:t xml:space="preserve"> 5 y</w:t>
            </w:r>
            <w:r w:rsidR="00A25CDB">
              <w:rPr>
                <w:rFonts w:asciiTheme="minorHAnsi" w:hAnsiTheme="minorHAnsi" w:cstheme="minorHAnsi"/>
                <w:bCs/>
                <w:sz w:val="16"/>
                <w:szCs w:val="16"/>
              </w:rPr>
              <w:t xml:space="preserve"> 6 a</w:t>
            </w:r>
            <w:r>
              <w:rPr>
                <w:rFonts w:asciiTheme="minorHAnsi" w:hAnsiTheme="minorHAnsi" w:cstheme="minorHAnsi"/>
                <w:bCs/>
                <w:sz w:val="16"/>
                <w:szCs w:val="16"/>
              </w:rPr>
              <w:t xml:space="preserve"> los Estados Financieros </w:t>
            </w:r>
            <w:r w:rsidR="00CE325F">
              <w:rPr>
                <w:rFonts w:asciiTheme="minorHAnsi" w:hAnsiTheme="minorHAnsi" w:cstheme="minorHAnsi"/>
                <w:bCs/>
                <w:sz w:val="16"/>
                <w:szCs w:val="16"/>
              </w:rPr>
              <w:t>por parte de Tesorería,</w:t>
            </w:r>
            <w:r w:rsidR="00A25CDB">
              <w:rPr>
                <w:rFonts w:asciiTheme="minorHAnsi" w:hAnsiTheme="minorHAnsi" w:cstheme="minorHAnsi"/>
                <w:bCs/>
                <w:sz w:val="16"/>
                <w:szCs w:val="16"/>
              </w:rPr>
              <w:t xml:space="preserve"> en las que se describe la composición</w:t>
            </w:r>
            <w:r w:rsidR="0084498C">
              <w:rPr>
                <w:rFonts w:asciiTheme="minorHAnsi" w:hAnsiTheme="minorHAnsi" w:cstheme="minorHAnsi"/>
                <w:bCs/>
                <w:sz w:val="16"/>
                <w:szCs w:val="16"/>
              </w:rPr>
              <w:t>,</w:t>
            </w:r>
            <w:r w:rsidR="00A25CDB">
              <w:rPr>
                <w:rFonts w:asciiTheme="minorHAnsi" w:hAnsiTheme="minorHAnsi" w:cstheme="minorHAnsi"/>
                <w:bCs/>
                <w:sz w:val="16"/>
                <w:szCs w:val="16"/>
              </w:rPr>
              <w:t xml:space="preserve"> comportamiento de las </w:t>
            </w:r>
            <w:r w:rsidR="00A25CDB" w:rsidRPr="00A25CDB">
              <w:rPr>
                <w:rFonts w:asciiTheme="minorHAnsi" w:hAnsiTheme="minorHAnsi" w:cstheme="minorHAnsi"/>
                <w:bCs/>
                <w:sz w:val="16"/>
                <w:szCs w:val="16"/>
              </w:rPr>
              <w:t xml:space="preserve">Inversiones de administración de </w:t>
            </w:r>
            <w:r w:rsidR="00BE1B3B" w:rsidRPr="00A25CDB">
              <w:rPr>
                <w:rFonts w:asciiTheme="minorHAnsi" w:hAnsiTheme="minorHAnsi" w:cstheme="minorHAnsi"/>
                <w:bCs/>
                <w:sz w:val="16"/>
                <w:szCs w:val="16"/>
              </w:rPr>
              <w:t>liquidez</w:t>
            </w:r>
            <w:r w:rsidR="0084498C">
              <w:rPr>
                <w:rFonts w:asciiTheme="minorHAnsi" w:hAnsiTheme="minorHAnsi" w:cstheme="minorHAnsi"/>
                <w:bCs/>
                <w:sz w:val="16"/>
                <w:szCs w:val="16"/>
              </w:rPr>
              <w:t xml:space="preserve"> e</w:t>
            </w:r>
            <w:r w:rsidR="00BE1B3B" w:rsidRPr="00BE1B3B">
              <w:rPr>
                <w:rFonts w:asciiTheme="minorHAnsi" w:hAnsiTheme="minorHAnsi" w:cstheme="minorHAnsi"/>
                <w:bCs/>
                <w:sz w:val="16"/>
                <w:szCs w:val="16"/>
              </w:rPr>
              <w:t xml:space="preserve"> inform</w:t>
            </w:r>
            <w:r w:rsidR="0084498C">
              <w:rPr>
                <w:rFonts w:asciiTheme="minorHAnsi" w:hAnsiTheme="minorHAnsi" w:cstheme="minorHAnsi"/>
                <w:bCs/>
                <w:sz w:val="16"/>
                <w:szCs w:val="16"/>
              </w:rPr>
              <w:t xml:space="preserve">ación sobre </w:t>
            </w:r>
            <w:r w:rsidR="00BE1B3B">
              <w:rPr>
                <w:rFonts w:asciiTheme="minorHAnsi" w:hAnsiTheme="minorHAnsi" w:cstheme="minorHAnsi"/>
                <w:bCs/>
                <w:sz w:val="16"/>
                <w:szCs w:val="16"/>
              </w:rPr>
              <w:t xml:space="preserve">estimación de </w:t>
            </w:r>
            <w:r w:rsidR="0084498C">
              <w:rPr>
                <w:rFonts w:asciiTheme="minorHAnsi" w:hAnsiTheme="minorHAnsi" w:cstheme="minorHAnsi"/>
                <w:bCs/>
                <w:sz w:val="16"/>
                <w:szCs w:val="16"/>
              </w:rPr>
              <w:t xml:space="preserve">posibles </w:t>
            </w:r>
            <w:r w:rsidR="00BE1B3B">
              <w:rPr>
                <w:rFonts w:asciiTheme="minorHAnsi" w:hAnsiTheme="minorHAnsi" w:cstheme="minorHAnsi"/>
                <w:bCs/>
                <w:sz w:val="16"/>
                <w:szCs w:val="16"/>
              </w:rPr>
              <w:t>deterioro</w:t>
            </w:r>
            <w:r w:rsidR="0084498C">
              <w:rPr>
                <w:rFonts w:asciiTheme="minorHAnsi" w:hAnsiTheme="minorHAnsi" w:cstheme="minorHAnsi"/>
                <w:bCs/>
                <w:sz w:val="16"/>
                <w:szCs w:val="16"/>
              </w:rPr>
              <w:t>s</w:t>
            </w:r>
            <w:r w:rsidR="00BE1B3B">
              <w:rPr>
                <w:rFonts w:asciiTheme="minorHAnsi" w:hAnsiTheme="minorHAnsi" w:cstheme="minorHAnsi"/>
                <w:bCs/>
                <w:sz w:val="16"/>
                <w:szCs w:val="16"/>
              </w:rPr>
              <w:t>.</w:t>
            </w:r>
          </w:p>
          <w:p w14:paraId="253753E2" w14:textId="77777777" w:rsidR="00CE325F" w:rsidRPr="002E12C1" w:rsidRDefault="00CE325F" w:rsidP="007C4117">
            <w:pPr>
              <w:suppressAutoHyphens w:val="0"/>
              <w:autoSpaceDN/>
              <w:textAlignment w:val="auto"/>
              <w:rPr>
                <w:rFonts w:asciiTheme="minorHAnsi" w:hAnsiTheme="minorHAnsi" w:cstheme="minorHAnsi"/>
                <w:bCs/>
                <w:sz w:val="16"/>
                <w:szCs w:val="16"/>
              </w:rPr>
            </w:pPr>
          </w:p>
          <w:p w14:paraId="79F52C5D" w14:textId="4ECD45D7" w:rsidR="002C6C87" w:rsidRPr="002E12C1" w:rsidRDefault="00FB6352" w:rsidP="007C4117">
            <w:pPr>
              <w:suppressAutoHyphens w:val="0"/>
              <w:autoSpaceDN/>
              <w:textAlignment w:val="auto"/>
              <w:rPr>
                <w:rFonts w:asciiTheme="minorHAnsi" w:hAnsiTheme="minorHAnsi" w:cstheme="minorHAnsi"/>
                <w:b/>
                <w:bCs/>
                <w:sz w:val="16"/>
                <w:szCs w:val="16"/>
              </w:rPr>
            </w:pPr>
            <w:r w:rsidRPr="00FB6352">
              <w:rPr>
                <w:rFonts w:asciiTheme="minorHAnsi" w:hAnsiTheme="minorHAnsi" w:cstheme="minorHAnsi"/>
                <w:sz w:val="16"/>
                <w:szCs w:val="16"/>
              </w:rPr>
              <w:t>Comparando la información del B</w:t>
            </w:r>
            <w:r w:rsidR="00C71C2D">
              <w:rPr>
                <w:rFonts w:asciiTheme="minorHAnsi" w:hAnsiTheme="minorHAnsi" w:cstheme="minorHAnsi"/>
                <w:sz w:val="16"/>
                <w:szCs w:val="16"/>
              </w:rPr>
              <w:t>oletín de Tesorería a 31/12/2020</w:t>
            </w:r>
            <w:r w:rsidR="0023762D">
              <w:rPr>
                <w:rFonts w:asciiTheme="minorHAnsi" w:hAnsiTheme="minorHAnsi" w:cstheme="minorHAnsi"/>
                <w:sz w:val="16"/>
                <w:szCs w:val="16"/>
              </w:rPr>
              <w:t xml:space="preserve"> con la presentada en el anexo 6.1 de la</w:t>
            </w:r>
            <w:r w:rsidRPr="00FB6352">
              <w:rPr>
                <w:rFonts w:asciiTheme="minorHAnsi" w:hAnsiTheme="minorHAnsi" w:cstheme="minorHAnsi"/>
                <w:sz w:val="16"/>
                <w:szCs w:val="16"/>
              </w:rPr>
              <w:t xml:space="preserve"> nota a los E</w:t>
            </w:r>
            <w:r w:rsidR="00C71C2D">
              <w:rPr>
                <w:rFonts w:asciiTheme="minorHAnsi" w:hAnsiTheme="minorHAnsi" w:cstheme="minorHAnsi"/>
                <w:sz w:val="16"/>
                <w:szCs w:val="16"/>
              </w:rPr>
              <w:t>stados Financieros vigencia 2020</w:t>
            </w:r>
            <w:r w:rsidR="00EB7287">
              <w:rPr>
                <w:rFonts w:asciiTheme="minorHAnsi" w:hAnsiTheme="minorHAnsi" w:cstheme="minorHAnsi"/>
                <w:sz w:val="16"/>
                <w:szCs w:val="16"/>
              </w:rPr>
              <w:t xml:space="preserve"> "No. 6.1.</w:t>
            </w:r>
            <w:r w:rsidRPr="00FB6352">
              <w:rPr>
                <w:rFonts w:asciiTheme="minorHAnsi" w:hAnsiTheme="minorHAnsi" w:cstheme="minorHAnsi"/>
                <w:sz w:val="16"/>
                <w:szCs w:val="16"/>
              </w:rPr>
              <w:t xml:space="preserve"> Inversiones de administración</w:t>
            </w:r>
            <w:r w:rsidR="0023762D">
              <w:rPr>
                <w:rFonts w:asciiTheme="minorHAnsi" w:hAnsiTheme="minorHAnsi" w:cstheme="minorHAnsi"/>
                <w:sz w:val="16"/>
                <w:szCs w:val="16"/>
              </w:rPr>
              <w:t xml:space="preserve"> de liquidez</w:t>
            </w:r>
            <w:r w:rsidRPr="00FB6352">
              <w:rPr>
                <w:rFonts w:asciiTheme="minorHAnsi" w:hAnsiTheme="minorHAnsi" w:cstheme="minorHAnsi"/>
                <w:sz w:val="16"/>
                <w:szCs w:val="16"/>
              </w:rPr>
              <w:t xml:space="preserve">", se observó que el valor presentado </w:t>
            </w:r>
            <w:r w:rsidR="0084498C">
              <w:rPr>
                <w:rFonts w:asciiTheme="minorHAnsi" w:hAnsiTheme="minorHAnsi" w:cstheme="minorHAnsi"/>
                <w:sz w:val="16"/>
                <w:szCs w:val="16"/>
              </w:rPr>
              <w:t>incluye el monto de los rendimientos de la vigencia</w:t>
            </w:r>
            <w:r w:rsidRPr="00FB6352">
              <w:rPr>
                <w:rFonts w:asciiTheme="minorHAnsi" w:hAnsiTheme="minorHAnsi" w:cstheme="minorHAnsi"/>
                <w:sz w:val="16"/>
                <w:szCs w:val="16"/>
              </w:rPr>
              <w:t>.</w:t>
            </w:r>
          </w:p>
        </w:tc>
      </w:tr>
      <w:tr w:rsidR="002C6C87" w:rsidRPr="000B0F0A" w14:paraId="545B86F3" w14:textId="77777777" w:rsidTr="00B00425">
        <w:trPr>
          <w:trHeight w:val="4335"/>
        </w:trPr>
        <w:tc>
          <w:tcPr>
            <w:tcW w:w="317" w:type="dxa"/>
            <w:vMerge/>
            <w:tcBorders>
              <w:left w:val="single" w:sz="4" w:space="0" w:color="auto"/>
              <w:bottom w:val="single" w:sz="4" w:space="0" w:color="auto"/>
              <w:right w:val="single" w:sz="4" w:space="0" w:color="auto"/>
            </w:tcBorders>
            <w:shd w:val="clear" w:color="auto" w:fill="auto"/>
            <w:vAlign w:val="center"/>
          </w:tcPr>
          <w:p w14:paraId="06E17FCC" w14:textId="77777777" w:rsidR="002C6C87" w:rsidRPr="000B0F0A" w:rsidRDefault="002C6C87"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bottom w:val="single" w:sz="4" w:space="0" w:color="auto"/>
              <w:right w:val="single" w:sz="4" w:space="0" w:color="auto"/>
            </w:tcBorders>
            <w:shd w:val="clear" w:color="auto" w:fill="auto"/>
            <w:vAlign w:val="center"/>
          </w:tcPr>
          <w:p w14:paraId="13F07C4B" w14:textId="77777777" w:rsidR="002C6C87" w:rsidRPr="000B0F0A" w:rsidRDefault="002C6C87"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bottom w:val="single" w:sz="4" w:space="0" w:color="auto"/>
              <w:right w:val="single" w:sz="4" w:space="0" w:color="auto"/>
            </w:tcBorders>
            <w:shd w:val="clear" w:color="auto" w:fill="auto"/>
          </w:tcPr>
          <w:p w14:paraId="0BDD1228" w14:textId="77777777" w:rsidR="002C6C87" w:rsidRPr="000B0F0A" w:rsidRDefault="002C6C87" w:rsidP="00ED72C2">
            <w:pPr>
              <w:suppressAutoHyphens w:val="0"/>
              <w:autoSpaceDN/>
              <w:textAlignment w:val="auto"/>
              <w:rPr>
                <w:rFonts w:asciiTheme="minorHAnsi" w:hAnsiTheme="minorHAnsi" w:cstheme="minorHAnsi"/>
                <w:sz w:val="16"/>
                <w:szCs w:val="16"/>
                <w:lang w:val="es-CO" w:eastAsia="es-CO"/>
              </w:rPr>
            </w:pPr>
          </w:p>
        </w:tc>
        <w:tc>
          <w:tcPr>
            <w:tcW w:w="3544" w:type="dxa"/>
            <w:vMerge/>
            <w:tcBorders>
              <w:left w:val="nil"/>
              <w:bottom w:val="single" w:sz="4" w:space="0" w:color="auto"/>
              <w:right w:val="single" w:sz="4" w:space="0" w:color="auto"/>
            </w:tcBorders>
            <w:shd w:val="clear" w:color="auto" w:fill="auto"/>
            <w:vAlign w:val="center"/>
          </w:tcPr>
          <w:p w14:paraId="3B0E31E4" w14:textId="77777777" w:rsidR="002C6C87" w:rsidRPr="000B0F0A" w:rsidRDefault="002C6C87" w:rsidP="00ED72C2">
            <w:pPr>
              <w:suppressAutoHyphens w:val="0"/>
              <w:autoSpaceDN/>
              <w:textAlignment w:val="auto"/>
              <w:rPr>
                <w:rFonts w:asciiTheme="minorHAnsi" w:hAnsiTheme="minorHAnsi" w:cstheme="minorHAnsi"/>
                <w:b/>
                <w:bCs/>
                <w:color w:val="000000"/>
                <w:sz w:val="16"/>
                <w:szCs w:val="16"/>
                <w:lang w:val="es-CO" w:eastAsia="es-C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A9CDBDC" w14:textId="0B810020" w:rsidR="002C6C87" w:rsidRPr="000B0F0A" w:rsidRDefault="002C6C87" w:rsidP="00ED72C2">
            <w:pPr>
              <w:jc w:val="center"/>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Contabilidad</w:t>
            </w:r>
          </w:p>
        </w:tc>
        <w:tc>
          <w:tcPr>
            <w:tcW w:w="1984" w:type="dxa"/>
            <w:vMerge/>
            <w:tcBorders>
              <w:left w:val="nil"/>
              <w:bottom w:val="single" w:sz="4" w:space="0" w:color="auto"/>
              <w:right w:val="single" w:sz="4" w:space="0" w:color="auto"/>
            </w:tcBorders>
            <w:shd w:val="clear" w:color="auto" w:fill="auto"/>
            <w:vAlign w:val="center"/>
          </w:tcPr>
          <w:p w14:paraId="5EAB4D34" w14:textId="77777777" w:rsidR="002C6C87" w:rsidRDefault="002C6C87"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CBDAC43" w14:textId="13A0238E" w:rsidR="002C6C87" w:rsidRPr="000B0F0A" w:rsidRDefault="002C6C87" w:rsidP="00ED72C2">
            <w:pPr>
              <w:jc w:val="center"/>
              <w:rPr>
                <w:rFonts w:asciiTheme="minorHAnsi" w:hAnsiTheme="minorHAnsi" w:cstheme="minorHAnsi"/>
                <w:sz w:val="16"/>
                <w:szCs w:val="16"/>
                <w:lang w:val="es-CO" w:eastAsia="es-CO"/>
              </w:rPr>
            </w:pPr>
            <w:r w:rsidRPr="00F64C0C">
              <w:rPr>
                <w:rFonts w:asciiTheme="minorHAnsi" w:hAnsiTheme="minorHAnsi" w:cstheme="minorHAnsi"/>
                <w:sz w:val="16"/>
                <w:szCs w:val="16"/>
                <w:lang w:val="es-CO" w:eastAsia="es-CO"/>
              </w:rPr>
              <w:t>20213330122183</w:t>
            </w:r>
          </w:p>
        </w:tc>
        <w:tc>
          <w:tcPr>
            <w:tcW w:w="993" w:type="dxa"/>
            <w:vMerge/>
            <w:tcBorders>
              <w:left w:val="nil"/>
              <w:bottom w:val="single" w:sz="4" w:space="0" w:color="auto"/>
              <w:right w:val="single" w:sz="4" w:space="0" w:color="auto"/>
            </w:tcBorders>
            <w:shd w:val="clear" w:color="auto" w:fill="92D050"/>
          </w:tcPr>
          <w:p w14:paraId="43868784" w14:textId="77777777" w:rsidR="002C6C87" w:rsidRPr="000B0F0A" w:rsidRDefault="002C6C87" w:rsidP="00ED72C2">
            <w:pPr>
              <w:suppressAutoHyphens w:val="0"/>
              <w:autoSpaceDN/>
              <w:jc w:val="center"/>
              <w:textAlignment w:val="auto"/>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1B09B27D" w14:textId="413F5493" w:rsidR="002C6C87" w:rsidRPr="00F64C0C" w:rsidRDefault="002C6C87" w:rsidP="00ED72C2">
            <w:pPr>
              <w:jc w:val="left"/>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 xml:space="preserve">El área de Contabilidad informa que </w:t>
            </w:r>
            <w:r w:rsidRPr="00F64C0C">
              <w:rPr>
                <w:rFonts w:asciiTheme="minorHAnsi" w:hAnsiTheme="minorHAnsi" w:cstheme="minorHAnsi"/>
                <w:bCs/>
                <w:i/>
                <w:sz w:val="16"/>
                <w:szCs w:val="16"/>
                <w:lang w:val="es-CO" w:eastAsia="es-CO"/>
              </w:rPr>
              <w:t>“Se adjuntan informe de la valoración de las inversiones en administración de liquidez-</w:t>
            </w:r>
            <w:r w:rsidR="008845F6" w:rsidRPr="00F64C0C">
              <w:rPr>
                <w:rFonts w:asciiTheme="minorHAnsi" w:hAnsiTheme="minorHAnsi" w:cstheme="minorHAnsi"/>
                <w:bCs/>
                <w:i/>
                <w:sz w:val="16"/>
                <w:szCs w:val="16"/>
                <w:lang w:val="es-CO" w:eastAsia="es-CO"/>
              </w:rPr>
              <w:t>CDTs</w:t>
            </w:r>
            <w:r w:rsidRPr="00F64C0C">
              <w:rPr>
                <w:rFonts w:asciiTheme="minorHAnsi" w:hAnsiTheme="minorHAnsi" w:cstheme="minorHAnsi"/>
                <w:bCs/>
                <w:i/>
                <w:sz w:val="16"/>
                <w:szCs w:val="16"/>
                <w:lang w:val="es-CO" w:eastAsia="es-CO"/>
              </w:rPr>
              <w:t xml:space="preserve"> de los meses diciembre 2020 y febrero de 2021.</w:t>
            </w:r>
            <w:r>
              <w:rPr>
                <w:rFonts w:asciiTheme="minorHAnsi" w:hAnsiTheme="minorHAnsi" w:cstheme="minorHAnsi"/>
                <w:bCs/>
                <w:i/>
                <w:sz w:val="16"/>
                <w:szCs w:val="16"/>
                <w:lang w:val="es-CO" w:eastAsia="es-CO"/>
              </w:rPr>
              <w:t>”</w:t>
            </w:r>
          </w:p>
        </w:tc>
        <w:tc>
          <w:tcPr>
            <w:tcW w:w="3969" w:type="dxa"/>
            <w:vMerge/>
            <w:tcBorders>
              <w:left w:val="nil"/>
              <w:bottom w:val="single" w:sz="4" w:space="0" w:color="auto"/>
              <w:right w:val="single" w:sz="4" w:space="0" w:color="auto"/>
            </w:tcBorders>
            <w:shd w:val="clear" w:color="auto" w:fill="auto"/>
            <w:noWrap/>
            <w:vAlign w:val="center"/>
          </w:tcPr>
          <w:p w14:paraId="5E112F96" w14:textId="77777777" w:rsidR="002C6C87" w:rsidRPr="000B0F0A" w:rsidRDefault="002C6C87" w:rsidP="00ED72C2">
            <w:pPr>
              <w:jc w:val="left"/>
              <w:rPr>
                <w:rFonts w:asciiTheme="minorHAnsi" w:hAnsiTheme="minorHAnsi" w:cstheme="minorHAnsi"/>
                <w:b/>
                <w:bCs/>
                <w:sz w:val="16"/>
                <w:szCs w:val="16"/>
                <w:lang w:val="es-CO" w:eastAsia="es-CO"/>
              </w:rPr>
            </w:pPr>
          </w:p>
        </w:tc>
      </w:tr>
      <w:tr w:rsidR="00366F89" w:rsidRPr="000B0F0A" w14:paraId="14B158FE" w14:textId="77777777" w:rsidTr="007C4117">
        <w:trPr>
          <w:trHeight w:val="2422"/>
        </w:trPr>
        <w:tc>
          <w:tcPr>
            <w:tcW w:w="317" w:type="dxa"/>
            <w:vMerge w:val="restart"/>
            <w:tcBorders>
              <w:top w:val="nil"/>
              <w:left w:val="single" w:sz="4" w:space="0" w:color="auto"/>
              <w:right w:val="single" w:sz="4" w:space="0" w:color="auto"/>
            </w:tcBorders>
            <w:shd w:val="clear" w:color="auto" w:fill="auto"/>
            <w:vAlign w:val="center"/>
            <w:hideMark/>
          </w:tcPr>
          <w:p w14:paraId="08ADCF0A" w14:textId="77777777" w:rsidR="00366F89" w:rsidRPr="000B0F0A" w:rsidRDefault="00366F89"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4</w:t>
            </w:r>
          </w:p>
        </w:tc>
        <w:tc>
          <w:tcPr>
            <w:tcW w:w="954" w:type="dxa"/>
            <w:vMerge w:val="restart"/>
            <w:tcBorders>
              <w:top w:val="nil"/>
              <w:left w:val="nil"/>
              <w:right w:val="single" w:sz="4" w:space="0" w:color="auto"/>
            </w:tcBorders>
            <w:shd w:val="clear" w:color="auto" w:fill="auto"/>
            <w:vAlign w:val="center"/>
            <w:hideMark/>
          </w:tcPr>
          <w:p w14:paraId="0EEC6E6E" w14:textId="77777777" w:rsidR="00366F89" w:rsidRPr="000B0F0A" w:rsidRDefault="00366F89"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Cuentas por cobrar</w:t>
            </w:r>
          </w:p>
        </w:tc>
        <w:tc>
          <w:tcPr>
            <w:tcW w:w="3969" w:type="dxa"/>
            <w:vMerge w:val="restart"/>
            <w:tcBorders>
              <w:top w:val="nil"/>
              <w:left w:val="nil"/>
              <w:right w:val="single" w:sz="4" w:space="0" w:color="auto"/>
            </w:tcBorders>
            <w:shd w:val="clear" w:color="auto" w:fill="auto"/>
            <w:vAlign w:val="center"/>
            <w:hideMark/>
          </w:tcPr>
          <w:p w14:paraId="1F55237E" w14:textId="0BF837FA" w:rsidR="00366F89" w:rsidRPr="005352D6" w:rsidRDefault="00366F89" w:rsidP="00504DB4">
            <w:pPr>
              <w:suppressAutoHyphens w:val="0"/>
              <w:autoSpaceDN/>
              <w:textAlignment w:val="auto"/>
              <w:rPr>
                <w:rFonts w:asciiTheme="minorHAnsi" w:hAnsiTheme="minorHAnsi" w:cstheme="minorHAnsi"/>
                <w:i/>
                <w:sz w:val="16"/>
                <w:szCs w:val="16"/>
                <w:lang w:val="es-CO" w:eastAsia="es-CO"/>
              </w:rPr>
            </w:pPr>
            <w:r w:rsidRPr="005352D6">
              <w:rPr>
                <w:rFonts w:asciiTheme="minorHAnsi" w:hAnsiTheme="minorHAnsi" w:cstheme="minorHAnsi"/>
                <w:i/>
                <w:sz w:val="16"/>
                <w:szCs w:val="16"/>
                <w:lang w:val="es-CO" w:eastAsia="es-CO"/>
              </w:rPr>
              <w:t>Realizar conciliación mensual de las cuentas por cobrar por concepto de cargas urbanístic</w:t>
            </w:r>
            <w:r w:rsidR="00C2688B">
              <w:rPr>
                <w:rFonts w:asciiTheme="minorHAnsi" w:hAnsiTheme="minorHAnsi" w:cstheme="minorHAnsi"/>
                <w:i/>
                <w:sz w:val="16"/>
                <w:szCs w:val="16"/>
                <w:lang w:val="es-CO" w:eastAsia="es-CO"/>
              </w:rPr>
              <w:t>as:</w:t>
            </w:r>
            <w:r w:rsidR="00C2688B">
              <w:rPr>
                <w:rFonts w:asciiTheme="minorHAnsi" w:hAnsiTheme="minorHAnsi" w:cstheme="minorHAnsi"/>
                <w:i/>
                <w:sz w:val="16"/>
                <w:szCs w:val="16"/>
                <w:lang w:val="es-CO" w:eastAsia="es-CO"/>
              </w:rPr>
              <w:br/>
            </w:r>
            <w:r w:rsidR="00C2688B">
              <w:rPr>
                <w:rFonts w:asciiTheme="minorHAnsi" w:hAnsiTheme="minorHAnsi" w:cstheme="minorHAnsi"/>
                <w:i/>
                <w:sz w:val="16"/>
                <w:szCs w:val="16"/>
                <w:lang w:val="es-CO" w:eastAsia="es-CO"/>
              </w:rPr>
              <w:br/>
              <w:t>1. El área de Contabilidad</w:t>
            </w:r>
            <w:r w:rsidRPr="005352D6">
              <w:rPr>
                <w:rFonts w:asciiTheme="minorHAnsi" w:hAnsiTheme="minorHAnsi" w:cstheme="minorHAnsi"/>
                <w:i/>
                <w:sz w:val="16"/>
                <w:szCs w:val="16"/>
                <w:lang w:val="es-CO" w:eastAsia="es-CO"/>
              </w:rPr>
              <w:t xml:space="preserve"> remite la conciliación con  los saldos de la cuenta 1311  para ser verificada, con la información del módulo de cartera por parte del área tesorería.</w:t>
            </w:r>
            <w:r w:rsidRPr="005352D6">
              <w:rPr>
                <w:rFonts w:asciiTheme="minorHAnsi" w:hAnsiTheme="minorHAnsi" w:cstheme="minorHAnsi"/>
                <w:i/>
                <w:sz w:val="16"/>
                <w:szCs w:val="16"/>
                <w:lang w:val="es-CO" w:eastAsia="es-CO"/>
              </w:rPr>
              <w:br/>
              <w:t>2.  El área de tesorería revisa la conciliación y envía copia  a Contabilidad, con la</w:t>
            </w:r>
            <w:r w:rsidR="00AA753C" w:rsidRPr="005352D6">
              <w:rPr>
                <w:rFonts w:asciiTheme="minorHAnsi" w:hAnsiTheme="minorHAnsi" w:cstheme="minorHAnsi"/>
                <w:i/>
                <w:sz w:val="16"/>
                <w:szCs w:val="16"/>
                <w:lang w:val="es-CO" w:eastAsia="es-CO"/>
              </w:rPr>
              <w:t>s correspondientes firmas.</w:t>
            </w:r>
            <w:r w:rsidR="00AA753C" w:rsidRPr="005352D6">
              <w:rPr>
                <w:rFonts w:asciiTheme="minorHAnsi" w:hAnsiTheme="minorHAnsi" w:cstheme="minorHAnsi"/>
                <w:i/>
                <w:sz w:val="16"/>
                <w:szCs w:val="16"/>
                <w:lang w:val="es-CO" w:eastAsia="es-CO"/>
              </w:rPr>
              <w:br/>
            </w:r>
            <w:r w:rsidRPr="005352D6">
              <w:rPr>
                <w:rFonts w:asciiTheme="minorHAnsi" w:hAnsiTheme="minorHAnsi" w:cstheme="minorHAnsi"/>
                <w:i/>
                <w:sz w:val="16"/>
                <w:szCs w:val="16"/>
                <w:lang w:val="es-CO" w:eastAsia="es-CO"/>
              </w:rPr>
              <w:br/>
            </w:r>
            <w:r w:rsidRPr="005352D6">
              <w:rPr>
                <w:rFonts w:asciiTheme="minorHAnsi" w:hAnsiTheme="minorHAnsi" w:cstheme="minorHAnsi"/>
                <w:b/>
                <w:bCs/>
                <w:i/>
                <w:color w:val="000000"/>
                <w:sz w:val="16"/>
                <w:szCs w:val="16"/>
                <w:lang w:val="es-CO" w:eastAsia="es-CO"/>
              </w:rPr>
              <w:t xml:space="preserve">Informe para revelaciones: </w:t>
            </w:r>
            <w:r w:rsidRPr="005352D6">
              <w:rPr>
                <w:rFonts w:asciiTheme="minorHAnsi" w:hAnsiTheme="minorHAnsi" w:cstheme="minorHAnsi"/>
                <w:i/>
                <w:color w:val="000000"/>
                <w:sz w:val="16"/>
                <w:szCs w:val="16"/>
                <w:lang w:val="es-CO" w:eastAsia="es-CO"/>
              </w:rPr>
              <w:br/>
              <w:t>- La Oficina Asesora Jurídica enviará al área de Contabilidad, informe si hay indicios de deterioro o reve</w:t>
            </w:r>
            <w:r w:rsidR="00847E42" w:rsidRPr="005352D6">
              <w:rPr>
                <w:rFonts w:asciiTheme="minorHAnsi" w:hAnsiTheme="minorHAnsi" w:cstheme="minorHAnsi"/>
                <w:i/>
                <w:color w:val="000000"/>
                <w:sz w:val="16"/>
                <w:szCs w:val="16"/>
                <w:lang w:val="es-CO" w:eastAsia="es-CO"/>
              </w:rPr>
              <w:t>rsión, en forma individualizada</w:t>
            </w:r>
            <w:r w:rsidRPr="005352D6">
              <w:rPr>
                <w:rFonts w:asciiTheme="minorHAnsi" w:hAnsiTheme="minorHAnsi" w:cstheme="minorHAnsi"/>
                <w:i/>
                <w:color w:val="000000"/>
                <w:sz w:val="16"/>
                <w:szCs w:val="16"/>
                <w:lang w:val="es-CO" w:eastAsia="es-CO"/>
              </w:rPr>
              <w:t xml:space="preserve"> efectuará el análisis de las cuentas por cobrar que se hayan determinado individualmente como deterioradas al final del periodo, incluyendo los factores que la entidad haya considerado</w:t>
            </w:r>
            <w:r w:rsidR="00847E42" w:rsidRPr="005352D6">
              <w:rPr>
                <w:rFonts w:asciiTheme="minorHAnsi" w:hAnsiTheme="minorHAnsi" w:cstheme="minorHAnsi"/>
                <w:i/>
                <w:color w:val="000000"/>
                <w:sz w:val="16"/>
                <w:szCs w:val="16"/>
                <w:lang w:val="es-CO" w:eastAsia="es-CO"/>
              </w:rPr>
              <w:t xml:space="preserve"> para determinar su deterioro. </w:t>
            </w:r>
            <w:r w:rsidRPr="005352D6">
              <w:rPr>
                <w:rFonts w:asciiTheme="minorHAnsi" w:hAnsiTheme="minorHAnsi" w:cstheme="minorHAnsi"/>
                <w:i/>
                <w:color w:val="000000"/>
                <w:sz w:val="16"/>
                <w:szCs w:val="16"/>
                <w:lang w:val="es-CO" w:eastAsia="es-CO"/>
              </w:rPr>
              <w:br/>
              <w:t>- La Oficina Asesora Jurídica debe remitir al área de contabilidad un análisis de la antigüedad de las cuentas por cobrar que estén en mora pero no deterioradas al final del periodo, si esto ocurre.</w:t>
            </w:r>
          </w:p>
        </w:tc>
        <w:tc>
          <w:tcPr>
            <w:tcW w:w="3544" w:type="dxa"/>
            <w:vMerge w:val="restart"/>
            <w:tcBorders>
              <w:top w:val="nil"/>
              <w:left w:val="nil"/>
              <w:right w:val="single" w:sz="4" w:space="0" w:color="auto"/>
            </w:tcBorders>
            <w:shd w:val="clear" w:color="auto" w:fill="auto"/>
            <w:vAlign w:val="center"/>
            <w:hideMark/>
          </w:tcPr>
          <w:p w14:paraId="203F4EB9" w14:textId="70B934AE" w:rsidR="00366F89" w:rsidRPr="00847E42" w:rsidRDefault="00366F89" w:rsidP="00ED72C2">
            <w:pPr>
              <w:suppressAutoHyphens w:val="0"/>
              <w:autoSpaceDN/>
              <w:textAlignment w:val="auto"/>
              <w:rPr>
                <w:rFonts w:asciiTheme="minorHAnsi" w:hAnsiTheme="minorHAnsi" w:cstheme="minorHAnsi"/>
                <w:color w:val="000000"/>
                <w:sz w:val="15"/>
                <w:szCs w:val="15"/>
                <w:lang w:val="es-CO" w:eastAsia="es-CO"/>
              </w:rPr>
            </w:pPr>
            <w:r w:rsidRPr="00847E42">
              <w:rPr>
                <w:rFonts w:asciiTheme="minorHAnsi" w:hAnsiTheme="minorHAnsi" w:cstheme="minorHAnsi"/>
                <w:b/>
                <w:color w:val="000000"/>
                <w:sz w:val="15"/>
                <w:szCs w:val="15"/>
                <w:lang w:val="es-CO" w:eastAsia="es-CO"/>
              </w:rPr>
              <w:t>12.3.5. Medición Posterior</w:t>
            </w:r>
            <w:r w:rsidRPr="00847E42">
              <w:rPr>
                <w:rFonts w:asciiTheme="minorHAnsi" w:hAnsiTheme="minorHAnsi" w:cstheme="minorHAnsi"/>
                <w:color w:val="000000"/>
                <w:sz w:val="15"/>
                <w:szCs w:val="15"/>
                <w:lang w:val="es-CO" w:eastAsia="es-CO"/>
              </w:rPr>
              <w:t xml:space="preserve">: </w:t>
            </w:r>
            <w:r w:rsidRPr="00847E42">
              <w:rPr>
                <w:rFonts w:asciiTheme="minorHAnsi" w:hAnsiTheme="minorHAnsi" w:cstheme="minorHAnsi"/>
                <w:i/>
                <w:iCs/>
                <w:color w:val="000000"/>
                <w:sz w:val="15"/>
                <w:szCs w:val="15"/>
                <w:lang w:val="es-CO" w:eastAsia="es-CO"/>
              </w:rPr>
              <w:t>"Se mantendrán por el valor de la transacción y serán objeto de deterioro. Para tal efecto, por lo menos una vez al final del periodo contable, se debe evaluar indicios del mismo, a través,</w:t>
            </w:r>
            <w:r w:rsidR="00847E42" w:rsidRPr="00847E42">
              <w:rPr>
                <w:rFonts w:asciiTheme="minorHAnsi" w:hAnsiTheme="minorHAnsi" w:cstheme="minorHAnsi"/>
                <w:i/>
                <w:iCs/>
                <w:color w:val="000000"/>
                <w:sz w:val="15"/>
                <w:szCs w:val="15"/>
                <w:lang w:val="es-CO" w:eastAsia="es-CO"/>
              </w:rPr>
              <w:t xml:space="preserve"> de evidencias objetivas..."</w:t>
            </w:r>
            <w:r w:rsidRPr="00847E42">
              <w:rPr>
                <w:rFonts w:asciiTheme="minorHAnsi" w:hAnsiTheme="minorHAnsi" w:cstheme="minorHAnsi"/>
                <w:i/>
                <w:iCs/>
                <w:color w:val="000000"/>
                <w:sz w:val="15"/>
                <w:szCs w:val="15"/>
                <w:lang w:val="es-CO" w:eastAsia="es-CO"/>
              </w:rPr>
              <w:br/>
            </w:r>
            <w:r w:rsidRPr="00847E42">
              <w:rPr>
                <w:rFonts w:asciiTheme="minorHAnsi" w:hAnsiTheme="minorHAnsi" w:cstheme="minorHAnsi"/>
                <w:b/>
                <w:color w:val="000000"/>
                <w:sz w:val="15"/>
                <w:szCs w:val="15"/>
                <w:lang w:val="es-CO" w:eastAsia="es-CO"/>
              </w:rPr>
              <w:t>12.3.6 Deterioro de Cuentas por Cobrar</w:t>
            </w:r>
            <w:r w:rsidRPr="00847E42">
              <w:rPr>
                <w:rFonts w:asciiTheme="minorHAnsi" w:hAnsiTheme="minorHAnsi" w:cstheme="minorHAnsi"/>
                <w:color w:val="000000"/>
                <w:sz w:val="15"/>
                <w:szCs w:val="15"/>
                <w:lang w:val="es-CO" w:eastAsia="es-CO"/>
              </w:rPr>
              <w:t>:</w:t>
            </w:r>
            <w:r w:rsidRPr="00847E42">
              <w:rPr>
                <w:rFonts w:asciiTheme="minorHAnsi" w:hAnsiTheme="minorHAnsi" w:cstheme="minorHAnsi"/>
                <w:b/>
                <w:bCs/>
                <w:i/>
                <w:iCs/>
                <w:color w:val="000000"/>
                <w:sz w:val="15"/>
                <w:szCs w:val="15"/>
                <w:lang w:val="es-CO" w:eastAsia="es-CO"/>
              </w:rPr>
              <w:t xml:space="preserve"> </w:t>
            </w:r>
            <w:r w:rsidRPr="00847E42">
              <w:rPr>
                <w:rFonts w:asciiTheme="minorHAnsi" w:hAnsiTheme="minorHAnsi" w:cstheme="minorHAnsi"/>
                <w:i/>
                <w:iCs/>
                <w:color w:val="000000"/>
                <w:sz w:val="15"/>
                <w:szCs w:val="15"/>
                <w:lang w:val="es-CO" w:eastAsia="es-CO"/>
              </w:rPr>
              <w:t>"1. Las cuentas por cobrar que se encuentran en la etapa de cobro persuasivo, no serán objeto de evaluación de deterioro. No obstante, si se determina que hay suficiente evidencia objetiva de indicios de deterioro en esta fase, procederá a aplicar el cálculo del deterioro. 2. Una vez formalizada la aceptación del proceso de cobro coactivo de las cuentas por cobrar, por parte de la Oficina Asesora Jurídica, será esta la encargada de suministrar a la entidad la información de la medición anual del deterioro, acorde al procedimiento establecido para este tema</w:t>
            </w:r>
            <w:r w:rsidR="00847E42" w:rsidRPr="00847E42">
              <w:rPr>
                <w:rFonts w:asciiTheme="minorHAnsi" w:hAnsiTheme="minorHAnsi" w:cstheme="minorHAnsi"/>
                <w:i/>
                <w:iCs/>
                <w:color w:val="000000"/>
                <w:sz w:val="15"/>
                <w:szCs w:val="15"/>
                <w:lang w:val="es-CO" w:eastAsia="es-CO"/>
              </w:rPr>
              <w:t>...."</w:t>
            </w:r>
            <w:r w:rsidRPr="00847E42">
              <w:rPr>
                <w:rFonts w:asciiTheme="minorHAnsi" w:hAnsiTheme="minorHAnsi" w:cstheme="minorHAnsi"/>
                <w:i/>
                <w:iCs/>
                <w:color w:val="000000"/>
                <w:sz w:val="15"/>
                <w:szCs w:val="15"/>
                <w:lang w:val="es-CO" w:eastAsia="es-CO"/>
              </w:rPr>
              <w:br/>
            </w:r>
            <w:r w:rsidRPr="00847E42">
              <w:rPr>
                <w:rFonts w:asciiTheme="minorHAnsi" w:hAnsiTheme="minorHAnsi" w:cstheme="minorHAnsi"/>
                <w:b/>
                <w:bCs/>
                <w:i/>
                <w:iCs/>
                <w:color w:val="000000"/>
                <w:sz w:val="15"/>
                <w:szCs w:val="15"/>
                <w:lang w:val="es-CO" w:eastAsia="es-CO"/>
              </w:rPr>
              <w:t>12.3.8 Revelaciones</w:t>
            </w:r>
            <w:r w:rsidRPr="00847E42">
              <w:rPr>
                <w:rFonts w:asciiTheme="minorHAnsi" w:hAnsiTheme="minorHAnsi" w:cstheme="minorHAnsi"/>
                <w:i/>
                <w:iCs/>
                <w:color w:val="000000"/>
                <w:sz w:val="15"/>
                <w:szCs w:val="15"/>
                <w:lang w:val="es-CO" w:eastAsia="es-CO"/>
              </w:rPr>
              <w:t>: "Se revelará el valor de las pérdidas por deterioro, o de su reversión, reconocidas durante el período contable, así como el deterioro acumulado. Adicionalmente, se revelará a) un análisis de antigüedad de las cuentas por cobrar que estén en mora, pero no deterioradas al final del periodo..."</w:t>
            </w:r>
          </w:p>
        </w:tc>
        <w:tc>
          <w:tcPr>
            <w:tcW w:w="1276" w:type="dxa"/>
            <w:tcBorders>
              <w:top w:val="nil"/>
              <w:left w:val="nil"/>
              <w:bottom w:val="single" w:sz="4" w:space="0" w:color="auto"/>
              <w:right w:val="single" w:sz="4" w:space="0" w:color="auto"/>
            </w:tcBorders>
            <w:shd w:val="clear" w:color="auto" w:fill="auto"/>
            <w:vAlign w:val="center"/>
            <w:hideMark/>
          </w:tcPr>
          <w:p w14:paraId="37BBE0A8" w14:textId="4657720B" w:rsidR="00366F89" w:rsidRPr="000B0F0A" w:rsidRDefault="00366F89"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Tesorería</w:t>
            </w:r>
          </w:p>
        </w:tc>
        <w:tc>
          <w:tcPr>
            <w:tcW w:w="1984" w:type="dxa"/>
            <w:vMerge w:val="restart"/>
            <w:tcBorders>
              <w:top w:val="nil"/>
              <w:left w:val="nil"/>
              <w:right w:val="single" w:sz="4" w:space="0" w:color="auto"/>
            </w:tcBorders>
            <w:shd w:val="clear" w:color="auto" w:fill="auto"/>
            <w:vAlign w:val="center"/>
            <w:hideMark/>
          </w:tcPr>
          <w:p w14:paraId="3DA65184" w14:textId="77777777" w:rsidR="00366F89" w:rsidRPr="000B0F0A" w:rsidRDefault="00366F89"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br/>
              <w:t>Mensualmente</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Anualmente</w:t>
            </w:r>
          </w:p>
        </w:tc>
        <w:tc>
          <w:tcPr>
            <w:tcW w:w="1559" w:type="dxa"/>
            <w:tcBorders>
              <w:top w:val="nil"/>
              <w:left w:val="nil"/>
              <w:bottom w:val="single" w:sz="4" w:space="0" w:color="auto"/>
              <w:right w:val="single" w:sz="4" w:space="0" w:color="auto"/>
            </w:tcBorders>
            <w:shd w:val="clear" w:color="auto" w:fill="auto"/>
            <w:vAlign w:val="center"/>
            <w:hideMark/>
          </w:tcPr>
          <w:p w14:paraId="30920F8B" w14:textId="7995D377" w:rsidR="00366F89" w:rsidRPr="000B0F0A" w:rsidRDefault="00366F89" w:rsidP="00ED72C2">
            <w:pPr>
              <w:suppressAutoHyphens w:val="0"/>
              <w:autoSpaceDN/>
              <w:jc w:val="center"/>
              <w:textAlignment w:val="auto"/>
              <w:rPr>
                <w:rFonts w:asciiTheme="minorHAnsi" w:hAnsiTheme="minorHAnsi" w:cstheme="minorHAnsi"/>
                <w:sz w:val="16"/>
                <w:szCs w:val="16"/>
                <w:lang w:val="es-CO" w:eastAsia="es-CO"/>
              </w:rPr>
            </w:pPr>
            <w:r w:rsidRPr="00C8130F">
              <w:rPr>
                <w:rFonts w:asciiTheme="minorHAnsi" w:hAnsiTheme="minorHAnsi" w:cstheme="minorHAnsi"/>
                <w:sz w:val="16"/>
                <w:szCs w:val="16"/>
                <w:lang w:val="es-CO" w:eastAsia="es-CO"/>
              </w:rPr>
              <w:t>20213320125753</w:t>
            </w:r>
          </w:p>
        </w:tc>
        <w:tc>
          <w:tcPr>
            <w:tcW w:w="993" w:type="dxa"/>
            <w:vMerge w:val="restart"/>
            <w:tcBorders>
              <w:top w:val="nil"/>
              <w:left w:val="nil"/>
              <w:right w:val="single" w:sz="4" w:space="0" w:color="auto"/>
            </w:tcBorders>
            <w:shd w:val="clear" w:color="auto" w:fill="FFD966" w:themeFill="accent4" w:themeFillTint="99"/>
            <w:vAlign w:val="center"/>
            <w:hideMark/>
          </w:tcPr>
          <w:p w14:paraId="72D69B15" w14:textId="39078AF5" w:rsidR="00071954" w:rsidRDefault="00071954" w:rsidP="00071954">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PARCIAL</w:t>
            </w:r>
          </w:p>
          <w:p w14:paraId="5030E178" w14:textId="0DF1ACE0" w:rsidR="00366F89" w:rsidRDefault="00E73638" w:rsidP="00CA7BF5">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75</w:t>
            </w:r>
            <w:r w:rsidR="00071954">
              <w:rPr>
                <w:rFonts w:asciiTheme="minorHAnsi" w:hAnsiTheme="minorHAnsi" w:cstheme="minorHAnsi"/>
                <w:sz w:val="16"/>
                <w:szCs w:val="16"/>
                <w:lang w:val="es-CO" w:eastAsia="es-CO"/>
              </w:rPr>
              <w:t>%</w:t>
            </w:r>
          </w:p>
          <w:p w14:paraId="76D3A251" w14:textId="77777777" w:rsidR="00E73638" w:rsidRDefault="00E73638" w:rsidP="00CA7BF5">
            <w:pPr>
              <w:suppressAutoHyphens w:val="0"/>
              <w:autoSpaceDN/>
              <w:jc w:val="center"/>
              <w:textAlignment w:val="auto"/>
              <w:rPr>
                <w:rFonts w:asciiTheme="minorHAnsi" w:hAnsiTheme="minorHAnsi" w:cstheme="minorHAnsi"/>
                <w:sz w:val="16"/>
                <w:szCs w:val="16"/>
                <w:lang w:val="es-CO" w:eastAsia="es-CO"/>
              </w:rPr>
            </w:pPr>
          </w:p>
          <w:p w14:paraId="173CDB3D" w14:textId="77777777" w:rsidR="00E73638" w:rsidRDefault="00E73638" w:rsidP="00CA7BF5">
            <w:pPr>
              <w:suppressAutoHyphens w:val="0"/>
              <w:autoSpaceDN/>
              <w:jc w:val="center"/>
              <w:textAlignment w:val="auto"/>
              <w:rPr>
                <w:rFonts w:asciiTheme="minorHAnsi" w:hAnsiTheme="minorHAnsi" w:cstheme="minorHAnsi"/>
                <w:sz w:val="16"/>
                <w:szCs w:val="16"/>
                <w:lang w:val="es-CO" w:eastAsia="es-CO"/>
              </w:rPr>
            </w:pPr>
          </w:p>
          <w:p w14:paraId="22739997" w14:textId="77777777" w:rsidR="00E73638" w:rsidRDefault="00E73638" w:rsidP="00CA7BF5">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(OAJ 50%</w:t>
            </w:r>
          </w:p>
          <w:p w14:paraId="6E6B121F" w14:textId="6C9B8448" w:rsidR="00E73638" w:rsidRPr="000B0F0A" w:rsidRDefault="00E73638" w:rsidP="00CA7BF5">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Tesorería 100%)</w:t>
            </w:r>
          </w:p>
        </w:tc>
        <w:tc>
          <w:tcPr>
            <w:tcW w:w="4110" w:type="dxa"/>
            <w:tcBorders>
              <w:top w:val="nil"/>
              <w:left w:val="nil"/>
              <w:bottom w:val="single" w:sz="4" w:space="0" w:color="auto"/>
              <w:right w:val="single" w:sz="4" w:space="0" w:color="auto"/>
            </w:tcBorders>
            <w:shd w:val="clear" w:color="auto" w:fill="auto"/>
            <w:noWrap/>
            <w:vAlign w:val="center"/>
            <w:hideMark/>
          </w:tcPr>
          <w:p w14:paraId="1CA32C2B" w14:textId="7C008F60" w:rsidR="00366F89" w:rsidRPr="00B21CAF" w:rsidRDefault="00366F89" w:rsidP="00B21CAF">
            <w:pPr>
              <w:suppressAutoHyphens w:val="0"/>
              <w:autoSpaceDN/>
              <w:textAlignment w:val="auto"/>
              <w:rPr>
                <w:rFonts w:asciiTheme="minorHAnsi" w:hAnsiTheme="minorHAnsi" w:cstheme="minorHAnsi"/>
                <w:bCs/>
                <w:sz w:val="16"/>
                <w:szCs w:val="16"/>
                <w:lang w:val="es-CO" w:eastAsia="es-CO"/>
              </w:rPr>
            </w:pPr>
            <w:r w:rsidRPr="000B0F0A">
              <w:rPr>
                <w:rFonts w:asciiTheme="minorHAnsi" w:hAnsiTheme="minorHAnsi" w:cstheme="minorHAnsi"/>
                <w:b/>
                <w:bCs/>
                <w:sz w:val="16"/>
                <w:szCs w:val="16"/>
                <w:lang w:val="es-CO" w:eastAsia="es-CO"/>
              </w:rPr>
              <w:t> </w:t>
            </w:r>
            <w:r>
              <w:rPr>
                <w:rFonts w:asciiTheme="minorHAnsi" w:hAnsiTheme="minorHAnsi" w:cstheme="minorHAnsi"/>
                <w:bCs/>
                <w:sz w:val="16"/>
                <w:szCs w:val="16"/>
                <w:lang w:val="es-CO" w:eastAsia="es-CO"/>
              </w:rPr>
              <w:t xml:space="preserve">Tesorería remite </w:t>
            </w:r>
            <w:r w:rsidRPr="00B21CAF">
              <w:rPr>
                <w:rFonts w:asciiTheme="minorHAnsi" w:hAnsiTheme="minorHAnsi" w:cstheme="minorHAnsi"/>
                <w:bCs/>
                <w:i/>
                <w:sz w:val="16"/>
                <w:szCs w:val="16"/>
                <w:lang w:val="es-CO" w:eastAsia="es-CO"/>
              </w:rPr>
              <w:t>“Correos electrónicos remitiendo las conciliaciones de Cargas Urbanísticas de octubre y diciembre del 8 de febrero de 2021 y de febrero 2021 del 19 de marzo de 2021.”</w:t>
            </w:r>
          </w:p>
        </w:tc>
        <w:tc>
          <w:tcPr>
            <w:tcW w:w="3969" w:type="dxa"/>
            <w:vMerge w:val="restart"/>
            <w:tcBorders>
              <w:top w:val="nil"/>
              <w:left w:val="nil"/>
              <w:right w:val="single" w:sz="4" w:space="0" w:color="auto"/>
            </w:tcBorders>
            <w:shd w:val="clear" w:color="auto" w:fill="auto"/>
            <w:noWrap/>
            <w:vAlign w:val="center"/>
            <w:hideMark/>
          </w:tcPr>
          <w:p w14:paraId="0343C471" w14:textId="4F535A06" w:rsidR="001E0C54" w:rsidRPr="00FA08EF" w:rsidRDefault="009A6F3F" w:rsidP="00847E42">
            <w:pPr>
              <w:pStyle w:val="Default"/>
              <w:jc w:val="both"/>
              <w:rPr>
                <w:rFonts w:asciiTheme="minorHAnsi" w:hAnsiTheme="minorHAnsi" w:cstheme="minorHAnsi"/>
                <w:sz w:val="16"/>
                <w:szCs w:val="16"/>
              </w:rPr>
            </w:pPr>
            <w:r w:rsidRPr="00FA08EF">
              <w:rPr>
                <w:rFonts w:asciiTheme="minorHAnsi" w:hAnsiTheme="minorHAnsi" w:cstheme="minorHAnsi"/>
                <w:b/>
                <w:bCs/>
                <w:sz w:val="16"/>
                <w:szCs w:val="16"/>
              </w:rPr>
              <w:t xml:space="preserve">REMISIÓN </w:t>
            </w:r>
            <w:r w:rsidR="00A9358E" w:rsidRPr="00FA08EF">
              <w:rPr>
                <w:rFonts w:asciiTheme="minorHAnsi" w:hAnsiTheme="minorHAnsi" w:cstheme="minorHAnsi"/>
                <w:b/>
                <w:bCs/>
                <w:sz w:val="16"/>
                <w:szCs w:val="16"/>
              </w:rPr>
              <w:t>DE LA CONCILIACIÓN</w:t>
            </w:r>
            <w:r w:rsidR="00FA08EF" w:rsidRPr="00FA08EF">
              <w:rPr>
                <w:rFonts w:asciiTheme="minorHAnsi" w:hAnsiTheme="minorHAnsi" w:cstheme="minorHAnsi"/>
                <w:b/>
                <w:bCs/>
                <w:sz w:val="16"/>
                <w:szCs w:val="16"/>
              </w:rPr>
              <w:t xml:space="preserve"> -</w:t>
            </w:r>
            <w:r w:rsidR="00A9358E" w:rsidRPr="00FA08EF">
              <w:rPr>
                <w:rFonts w:asciiTheme="minorHAnsi" w:hAnsiTheme="minorHAnsi" w:cstheme="minorHAnsi"/>
                <w:b/>
                <w:bCs/>
                <w:sz w:val="16"/>
                <w:szCs w:val="16"/>
              </w:rPr>
              <w:t xml:space="preserve"> </w:t>
            </w:r>
            <w:r w:rsidR="00A9358E" w:rsidRPr="00FA08EF">
              <w:rPr>
                <w:rFonts w:asciiTheme="minorHAnsi" w:hAnsiTheme="minorHAnsi" w:cstheme="minorHAnsi"/>
                <w:bCs/>
                <w:sz w:val="16"/>
                <w:szCs w:val="16"/>
              </w:rPr>
              <w:t>Una</w:t>
            </w:r>
            <w:r w:rsidR="001E0C54" w:rsidRPr="00FA08EF">
              <w:rPr>
                <w:rFonts w:asciiTheme="minorHAnsi" w:hAnsiTheme="minorHAnsi" w:cstheme="minorHAnsi"/>
                <w:sz w:val="16"/>
                <w:szCs w:val="16"/>
              </w:rPr>
              <w:t xml:space="preserve"> vez revisada la </w:t>
            </w:r>
            <w:r w:rsidRPr="00FA08EF">
              <w:rPr>
                <w:rFonts w:asciiTheme="minorHAnsi" w:hAnsiTheme="minorHAnsi" w:cstheme="minorHAnsi"/>
                <w:sz w:val="16"/>
                <w:szCs w:val="16"/>
              </w:rPr>
              <w:t>información suministrada por Tesorería</w:t>
            </w:r>
            <w:r w:rsidR="001E0C54" w:rsidRPr="00FA08EF">
              <w:rPr>
                <w:rFonts w:asciiTheme="minorHAnsi" w:hAnsiTheme="minorHAnsi" w:cstheme="minorHAnsi"/>
                <w:sz w:val="16"/>
                <w:szCs w:val="16"/>
              </w:rPr>
              <w:t xml:space="preserve">, se verifica la ejecución de la actividad del PSC. </w:t>
            </w:r>
          </w:p>
          <w:p w14:paraId="000DFF8F" w14:textId="1A0FFFD0" w:rsidR="00A9358E" w:rsidRDefault="00A9358E" w:rsidP="00847E42">
            <w:pPr>
              <w:pStyle w:val="Default"/>
              <w:jc w:val="both"/>
              <w:rPr>
                <w:rFonts w:asciiTheme="minorHAnsi" w:hAnsiTheme="minorHAnsi" w:cstheme="minorHAnsi"/>
                <w:sz w:val="16"/>
                <w:szCs w:val="16"/>
              </w:rPr>
            </w:pPr>
          </w:p>
          <w:p w14:paraId="72D57E4A" w14:textId="77777777" w:rsidR="00263464" w:rsidRPr="00FA08EF" w:rsidRDefault="00263464" w:rsidP="00847E42">
            <w:pPr>
              <w:pStyle w:val="Default"/>
              <w:jc w:val="both"/>
              <w:rPr>
                <w:rFonts w:asciiTheme="minorHAnsi" w:hAnsiTheme="minorHAnsi" w:cstheme="minorHAnsi"/>
                <w:sz w:val="16"/>
                <w:szCs w:val="16"/>
              </w:rPr>
            </w:pPr>
          </w:p>
          <w:p w14:paraId="61AB6F49" w14:textId="2F1EF185" w:rsidR="00AA753C" w:rsidRDefault="001E0C54" w:rsidP="00847E42">
            <w:pPr>
              <w:pStyle w:val="Default"/>
              <w:jc w:val="both"/>
              <w:rPr>
                <w:rFonts w:asciiTheme="minorHAnsi" w:hAnsiTheme="minorHAnsi" w:cstheme="minorHAnsi"/>
                <w:sz w:val="16"/>
                <w:szCs w:val="16"/>
              </w:rPr>
            </w:pPr>
            <w:r w:rsidRPr="00FA08EF">
              <w:rPr>
                <w:rFonts w:asciiTheme="minorHAnsi" w:hAnsiTheme="minorHAnsi" w:cstheme="minorHAnsi"/>
                <w:b/>
                <w:bCs/>
                <w:sz w:val="16"/>
                <w:szCs w:val="16"/>
              </w:rPr>
              <w:t xml:space="preserve">INFORME INDICIOS DE DETERIORO O REVERSIÓN - </w:t>
            </w:r>
            <w:r w:rsidR="00AA753C" w:rsidRPr="00FA08EF">
              <w:rPr>
                <w:rFonts w:asciiTheme="minorHAnsi" w:hAnsiTheme="minorHAnsi" w:cstheme="minorHAnsi"/>
                <w:bCs/>
                <w:sz w:val="16"/>
                <w:szCs w:val="16"/>
              </w:rPr>
              <w:t>Una</w:t>
            </w:r>
            <w:r w:rsidR="00AA753C" w:rsidRPr="00FA08EF">
              <w:rPr>
                <w:rFonts w:asciiTheme="minorHAnsi" w:hAnsiTheme="minorHAnsi" w:cstheme="minorHAnsi"/>
                <w:sz w:val="16"/>
                <w:szCs w:val="16"/>
              </w:rPr>
              <w:t xml:space="preserve"> vez revisada la información suministrada por </w:t>
            </w:r>
            <w:r w:rsidR="00847E42">
              <w:rPr>
                <w:rFonts w:asciiTheme="minorHAnsi" w:hAnsiTheme="minorHAnsi" w:cstheme="minorHAnsi"/>
                <w:sz w:val="16"/>
                <w:szCs w:val="16"/>
              </w:rPr>
              <w:t>OAJ</w:t>
            </w:r>
            <w:r w:rsidR="00AA753C" w:rsidRPr="00FA08EF">
              <w:rPr>
                <w:rFonts w:asciiTheme="minorHAnsi" w:hAnsiTheme="minorHAnsi" w:cstheme="minorHAnsi"/>
                <w:sz w:val="16"/>
                <w:szCs w:val="16"/>
              </w:rPr>
              <w:t xml:space="preserve">, se verifica la ejecución de la actividad del PSC. </w:t>
            </w:r>
          </w:p>
          <w:p w14:paraId="02A7B6F5" w14:textId="0428AC77" w:rsidR="00AA753C" w:rsidRDefault="00AA753C" w:rsidP="00847E42">
            <w:pPr>
              <w:pStyle w:val="Default"/>
              <w:jc w:val="both"/>
              <w:rPr>
                <w:rFonts w:asciiTheme="minorHAnsi" w:hAnsiTheme="minorHAnsi" w:cstheme="minorHAnsi"/>
                <w:b/>
                <w:bCs/>
                <w:sz w:val="16"/>
                <w:szCs w:val="16"/>
              </w:rPr>
            </w:pPr>
          </w:p>
          <w:p w14:paraId="276CF56C" w14:textId="77777777" w:rsidR="00263464" w:rsidRDefault="00263464" w:rsidP="00847E42">
            <w:pPr>
              <w:pStyle w:val="Default"/>
              <w:jc w:val="both"/>
              <w:rPr>
                <w:rFonts w:asciiTheme="minorHAnsi" w:hAnsiTheme="minorHAnsi" w:cstheme="minorHAnsi"/>
                <w:b/>
                <w:bCs/>
                <w:sz w:val="16"/>
                <w:szCs w:val="16"/>
              </w:rPr>
            </w:pPr>
          </w:p>
          <w:p w14:paraId="3AE23FAB" w14:textId="744E8A9D" w:rsidR="00263464" w:rsidRPr="00263464" w:rsidRDefault="001E0C54" w:rsidP="00263464">
            <w:pPr>
              <w:pStyle w:val="Default"/>
              <w:jc w:val="both"/>
              <w:rPr>
                <w:rFonts w:asciiTheme="minorHAnsi" w:hAnsiTheme="minorHAnsi" w:cstheme="minorHAnsi"/>
                <w:sz w:val="16"/>
                <w:szCs w:val="16"/>
              </w:rPr>
            </w:pPr>
            <w:r w:rsidRPr="00FA08EF">
              <w:rPr>
                <w:rFonts w:asciiTheme="minorHAnsi" w:hAnsiTheme="minorHAnsi" w:cstheme="minorHAnsi"/>
                <w:b/>
                <w:bCs/>
                <w:sz w:val="16"/>
                <w:szCs w:val="16"/>
              </w:rPr>
              <w:t xml:space="preserve">ANÁLISIS DE ANTIGUEDAD DE CUENTAS POR COBRAR EN MORA - </w:t>
            </w:r>
            <w:r w:rsidRPr="00FA08EF">
              <w:rPr>
                <w:rFonts w:asciiTheme="minorHAnsi" w:hAnsiTheme="minorHAnsi" w:cstheme="minorHAnsi"/>
                <w:sz w:val="16"/>
                <w:szCs w:val="16"/>
              </w:rPr>
              <w:t>No se suministró evidencia de la elaboración y remisión d</w:t>
            </w:r>
            <w:r w:rsidR="00FA08EF" w:rsidRPr="00FA08EF">
              <w:rPr>
                <w:rFonts w:asciiTheme="minorHAnsi" w:hAnsiTheme="minorHAnsi" w:cstheme="minorHAnsi"/>
                <w:sz w:val="16"/>
                <w:szCs w:val="16"/>
              </w:rPr>
              <w:t>e este informe al área contable</w:t>
            </w:r>
            <w:r w:rsidRPr="00FA08EF">
              <w:rPr>
                <w:rFonts w:asciiTheme="minorHAnsi" w:hAnsiTheme="minorHAnsi" w:cstheme="minorHAnsi"/>
                <w:sz w:val="16"/>
                <w:szCs w:val="16"/>
              </w:rPr>
              <w:t>. De lo anterior, puede concluirse que el informe no se elaboró.</w:t>
            </w:r>
          </w:p>
        </w:tc>
      </w:tr>
      <w:tr w:rsidR="00366F89" w:rsidRPr="000B0F0A" w14:paraId="21EB67C6" w14:textId="77777777" w:rsidTr="007C4117">
        <w:trPr>
          <w:trHeight w:val="3015"/>
        </w:trPr>
        <w:tc>
          <w:tcPr>
            <w:tcW w:w="317" w:type="dxa"/>
            <w:vMerge/>
            <w:tcBorders>
              <w:left w:val="single" w:sz="4" w:space="0" w:color="auto"/>
              <w:bottom w:val="single" w:sz="4" w:space="0" w:color="auto"/>
              <w:right w:val="single" w:sz="4" w:space="0" w:color="auto"/>
            </w:tcBorders>
            <w:shd w:val="clear" w:color="auto" w:fill="auto"/>
            <w:vAlign w:val="center"/>
          </w:tcPr>
          <w:p w14:paraId="126F4343" w14:textId="77777777" w:rsidR="00366F89" w:rsidRPr="000B0F0A" w:rsidRDefault="00366F89"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bottom w:val="single" w:sz="4" w:space="0" w:color="auto"/>
              <w:right w:val="single" w:sz="4" w:space="0" w:color="auto"/>
            </w:tcBorders>
            <w:shd w:val="clear" w:color="auto" w:fill="auto"/>
            <w:vAlign w:val="center"/>
          </w:tcPr>
          <w:p w14:paraId="51740DFF" w14:textId="77777777" w:rsidR="00366F89" w:rsidRPr="000B0F0A" w:rsidRDefault="00366F89"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bottom w:val="single" w:sz="4" w:space="0" w:color="auto"/>
              <w:right w:val="single" w:sz="4" w:space="0" w:color="auto"/>
            </w:tcBorders>
            <w:shd w:val="clear" w:color="auto" w:fill="auto"/>
          </w:tcPr>
          <w:p w14:paraId="6C49D35D" w14:textId="77777777" w:rsidR="00366F89" w:rsidRPr="000B0F0A" w:rsidRDefault="00366F89" w:rsidP="00ED72C2">
            <w:pPr>
              <w:suppressAutoHyphens w:val="0"/>
              <w:autoSpaceDN/>
              <w:textAlignment w:val="auto"/>
              <w:rPr>
                <w:rFonts w:asciiTheme="minorHAnsi" w:hAnsiTheme="minorHAnsi" w:cstheme="minorHAnsi"/>
                <w:sz w:val="16"/>
                <w:szCs w:val="16"/>
                <w:lang w:val="es-CO" w:eastAsia="es-CO"/>
              </w:rPr>
            </w:pPr>
          </w:p>
        </w:tc>
        <w:tc>
          <w:tcPr>
            <w:tcW w:w="3544" w:type="dxa"/>
            <w:vMerge/>
            <w:tcBorders>
              <w:left w:val="nil"/>
              <w:bottom w:val="single" w:sz="4" w:space="0" w:color="auto"/>
              <w:right w:val="single" w:sz="4" w:space="0" w:color="auto"/>
            </w:tcBorders>
            <w:shd w:val="clear" w:color="auto" w:fill="auto"/>
            <w:vAlign w:val="center"/>
          </w:tcPr>
          <w:p w14:paraId="673E8DEB" w14:textId="77777777" w:rsidR="00366F89" w:rsidRPr="000B0F0A" w:rsidRDefault="00366F89" w:rsidP="00ED72C2">
            <w:pPr>
              <w:suppressAutoHyphens w:val="0"/>
              <w:autoSpaceDN/>
              <w:textAlignment w:val="auto"/>
              <w:rPr>
                <w:rFonts w:asciiTheme="minorHAnsi" w:hAnsiTheme="minorHAnsi" w:cstheme="minorHAnsi"/>
                <w:color w:val="000000"/>
                <w:sz w:val="16"/>
                <w:szCs w:val="16"/>
                <w:lang w:val="es-CO" w:eastAsia="es-C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5D76961" w14:textId="63F28A68" w:rsidR="00366F89" w:rsidRPr="000B0F0A" w:rsidRDefault="00366F89" w:rsidP="00ED72C2">
            <w:pPr>
              <w:jc w:val="center"/>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Oficina Asesora Jurídica</w:t>
            </w:r>
          </w:p>
        </w:tc>
        <w:tc>
          <w:tcPr>
            <w:tcW w:w="1984" w:type="dxa"/>
            <w:vMerge/>
            <w:tcBorders>
              <w:left w:val="nil"/>
              <w:bottom w:val="single" w:sz="4" w:space="0" w:color="auto"/>
              <w:right w:val="single" w:sz="4" w:space="0" w:color="auto"/>
            </w:tcBorders>
            <w:shd w:val="clear" w:color="auto" w:fill="auto"/>
            <w:vAlign w:val="center"/>
          </w:tcPr>
          <w:p w14:paraId="13F2957E" w14:textId="77777777" w:rsidR="00366F89" w:rsidRPr="000B0F0A" w:rsidRDefault="00366F89"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C5DC1C9" w14:textId="1D7F9BEE" w:rsidR="00366F89" w:rsidRPr="000B0F0A" w:rsidRDefault="00366F89" w:rsidP="00ED72C2">
            <w:pPr>
              <w:jc w:val="center"/>
              <w:rPr>
                <w:rFonts w:asciiTheme="minorHAnsi" w:hAnsiTheme="minorHAnsi" w:cstheme="minorHAnsi"/>
                <w:sz w:val="16"/>
                <w:szCs w:val="16"/>
                <w:lang w:val="es-CO" w:eastAsia="es-CO"/>
              </w:rPr>
            </w:pPr>
            <w:r w:rsidRPr="008C2752">
              <w:rPr>
                <w:rFonts w:asciiTheme="minorHAnsi" w:hAnsiTheme="minorHAnsi" w:cstheme="minorHAnsi"/>
                <w:sz w:val="16"/>
                <w:szCs w:val="16"/>
                <w:lang w:val="es-CO" w:eastAsia="es-CO"/>
              </w:rPr>
              <w:t>20211100127903</w:t>
            </w:r>
          </w:p>
        </w:tc>
        <w:tc>
          <w:tcPr>
            <w:tcW w:w="993" w:type="dxa"/>
            <w:vMerge/>
            <w:tcBorders>
              <w:left w:val="nil"/>
              <w:bottom w:val="single" w:sz="4" w:space="0" w:color="auto"/>
              <w:right w:val="single" w:sz="4" w:space="0" w:color="auto"/>
            </w:tcBorders>
            <w:shd w:val="clear" w:color="auto" w:fill="FFD966" w:themeFill="accent4" w:themeFillTint="99"/>
          </w:tcPr>
          <w:p w14:paraId="13E03302" w14:textId="77777777" w:rsidR="00366F89" w:rsidRPr="000B0F0A" w:rsidRDefault="00366F89" w:rsidP="00ED72C2">
            <w:pPr>
              <w:suppressAutoHyphens w:val="0"/>
              <w:autoSpaceDN/>
              <w:jc w:val="center"/>
              <w:textAlignment w:val="auto"/>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1B11984A" w14:textId="6EECD324" w:rsidR="00366F89" w:rsidRPr="00424E6F" w:rsidRDefault="00366F89" w:rsidP="008036C3">
            <w:pPr>
              <w:suppressAutoHyphens w:val="0"/>
              <w:autoSpaceDN/>
              <w:textAlignment w:val="auto"/>
              <w:rPr>
                <w:rFonts w:asciiTheme="minorHAnsi" w:hAnsiTheme="minorHAnsi" w:cstheme="minorHAnsi"/>
                <w:bCs/>
                <w:sz w:val="16"/>
                <w:szCs w:val="16"/>
                <w:lang w:val="es-CO" w:eastAsia="es-CO"/>
              </w:rPr>
            </w:pPr>
            <w:r w:rsidRPr="008036C3">
              <w:rPr>
                <w:rFonts w:asciiTheme="minorHAnsi" w:hAnsiTheme="minorHAnsi" w:cstheme="minorHAnsi"/>
                <w:bCs/>
                <w:sz w:val="16"/>
                <w:szCs w:val="16"/>
                <w:lang w:val="es-CO" w:eastAsia="es-CO"/>
              </w:rPr>
              <w:t xml:space="preserve">La OAJ informa que </w:t>
            </w:r>
            <w:r w:rsidRPr="008036C3">
              <w:rPr>
                <w:rFonts w:asciiTheme="minorHAnsi" w:hAnsiTheme="minorHAnsi" w:cstheme="minorHAnsi"/>
                <w:bCs/>
                <w:i/>
                <w:sz w:val="16"/>
                <w:szCs w:val="16"/>
                <w:lang w:val="es-CO" w:eastAsia="es-CO"/>
              </w:rPr>
              <w:t>“Se remite carpeta en formato Zip con las evidencias correspondientes, Correo del 29 de enero de 2021, en el cual se remite al Área de Contabilidad, los formatos diligenciados para calificación deterioro deudas de difícil cobro y cargas Urbanísticas vigencia 2020.”</w:t>
            </w:r>
          </w:p>
        </w:tc>
        <w:tc>
          <w:tcPr>
            <w:tcW w:w="3969" w:type="dxa"/>
            <w:vMerge/>
            <w:tcBorders>
              <w:left w:val="nil"/>
              <w:bottom w:val="single" w:sz="4" w:space="0" w:color="auto"/>
              <w:right w:val="single" w:sz="4" w:space="0" w:color="auto"/>
            </w:tcBorders>
            <w:shd w:val="clear" w:color="auto" w:fill="auto"/>
            <w:noWrap/>
            <w:vAlign w:val="center"/>
          </w:tcPr>
          <w:p w14:paraId="0D0C0A14" w14:textId="77777777" w:rsidR="00366F89" w:rsidRPr="000B0F0A" w:rsidRDefault="00366F89" w:rsidP="00ED72C2">
            <w:pPr>
              <w:jc w:val="left"/>
              <w:rPr>
                <w:rFonts w:asciiTheme="minorHAnsi" w:hAnsiTheme="minorHAnsi" w:cstheme="minorHAnsi"/>
                <w:b/>
                <w:bCs/>
                <w:sz w:val="16"/>
                <w:szCs w:val="16"/>
                <w:lang w:val="es-CO" w:eastAsia="es-CO"/>
              </w:rPr>
            </w:pPr>
          </w:p>
        </w:tc>
      </w:tr>
      <w:tr w:rsidR="005352D6" w:rsidRPr="000B0F0A" w14:paraId="7E610F16" w14:textId="77777777" w:rsidTr="00EC5F4E">
        <w:trPr>
          <w:trHeight w:val="2914"/>
        </w:trPr>
        <w:tc>
          <w:tcPr>
            <w:tcW w:w="317" w:type="dxa"/>
            <w:vMerge w:val="restart"/>
            <w:tcBorders>
              <w:top w:val="nil"/>
              <w:left w:val="single" w:sz="4" w:space="0" w:color="auto"/>
              <w:right w:val="single" w:sz="4" w:space="0" w:color="auto"/>
            </w:tcBorders>
            <w:shd w:val="clear" w:color="auto" w:fill="auto"/>
            <w:vAlign w:val="center"/>
            <w:hideMark/>
          </w:tcPr>
          <w:p w14:paraId="72AFC1E4" w14:textId="77777777" w:rsidR="005352D6" w:rsidRPr="000B0F0A" w:rsidRDefault="005352D6"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lastRenderedPageBreak/>
              <w:t>5</w:t>
            </w:r>
          </w:p>
        </w:tc>
        <w:tc>
          <w:tcPr>
            <w:tcW w:w="954" w:type="dxa"/>
            <w:vMerge w:val="restart"/>
            <w:tcBorders>
              <w:top w:val="nil"/>
              <w:left w:val="nil"/>
              <w:right w:val="single" w:sz="4" w:space="0" w:color="auto"/>
            </w:tcBorders>
            <w:shd w:val="clear" w:color="auto" w:fill="auto"/>
            <w:vAlign w:val="center"/>
            <w:hideMark/>
          </w:tcPr>
          <w:p w14:paraId="5BAE3BD1" w14:textId="77777777" w:rsidR="005352D6" w:rsidRPr="000B0F0A" w:rsidRDefault="005352D6"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Préstamos por cobrar</w:t>
            </w:r>
          </w:p>
        </w:tc>
        <w:tc>
          <w:tcPr>
            <w:tcW w:w="3969" w:type="dxa"/>
            <w:vMerge w:val="restart"/>
            <w:tcBorders>
              <w:top w:val="nil"/>
              <w:left w:val="nil"/>
              <w:right w:val="single" w:sz="4" w:space="0" w:color="auto"/>
            </w:tcBorders>
            <w:shd w:val="clear" w:color="auto" w:fill="auto"/>
            <w:vAlign w:val="center"/>
            <w:hideMark/>
          </w:tcPr>
          <w:p w14:paraId="4639A1A8" w14:textId="77777777" w:rsidR="005352D6" w:rsidRPr="000B0F0A" w:rsidRDefault="005352D6" w:rsidP="00ED72C2">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Realizar conciliación mensual de los préstamos  de vivienda otorgados por el Fondo de Vivienda del IDRD:</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1. El área de talento humano envía a Contabilidad el informe de descuentos de nómina, por concepto de préstamos de vivienda, realizados a cada funcionario.</w:t>
            </w:r>
            <w:r w:rsidRPr="000B0F0A">
              <w:rPr>
                <w:rFonts w:asciiTheme="minorHAnsi" w:hAnsiTheme="minorHAnsi" w:cstheme="minorHAnsi"/>
                <w:sz w:val="16"/>
                <w:szCs w:val="16"/>
                <w:lang w:val="es-CO" w:eastAsia="es-CO"/>
              </w:rPr>
              <w:br/>
              <w:t>2. El área de Contabilidad remite al área de talento humano- nominas la conciliación con el reporte de saldos mensuales de las cuentas 1415 (Excel) en el que se muestra el saldo a capital y los saldos causados de los intereses por cada beneficiario del Crédito.</w:t>
            </w:r>
            <w:r w:rsidRPr="000B0F0A">
              <w:rPr>
                <w:rFonts w:asciiTheme="minorHAnsi" w:hAnsiTheme="minorHAnsi" w:cstheme="minorHAnsi"/>
                <w:sz w:val="16"/>
                <w:szCs w:val="16"/>
                <w:lang w:val="es-CO" w:eastAsia="es-CO"/>
              </w:rPr>
              <w:br/>
              <w:t>3. El área de Talento Humano-Nómina revisa la conciliación y envía copia  a Contabilidad, con las correspondientes firmas.</w:t>
            </w:r>
            <w:r w:rsidRPr="000B0F0A">
              <w:rPr>
                <w:rFonts w:asciiTheme="minorHAnsi" w:hAnsiTheme="minorHAnsi" w:cstheme="minorHAnsi"/>
                <w:sz w:val="16"/>
                <w:szCs w:val="16"/>
                <w:lang w:val="es-CO" w:eastAsia="es-CO"/>
              </w:rPr>
              <w:br/>
              <w:t xml:space="preserve">4. </w:t>
            </w:r>
            <w:r w:rsidRPr="000B0F0A">
              <w:rPr>
                <w:rFonts w:asciiTheme="minorHAnsi" w:hAnsiTheme="minorHAnsi" w:cstheme="minorHAnsi"/>
                <w:color w:val="000000"/>
                <w:sz w:val="16"/>
                <w:szCs w:val="16"/>
                <w:lang w:val="es-CO" w:eastAsia="es-CO"/>
              </w:rPr>
              <w:t>El área de tesorería envía conciliación mensual de los préstamos de vivienda de los exfuncionarios otorgados por el Fondo de vivienda del IDRD.</w:t>
            </w:r>
            <w:r w:rsidRPr="000B0F0A">
              <w:rPr>
                <w:rFonts w:asciiTheme="minorHAnsi" w:hAnsiTheme="minorHAnsi" w:cstheme="minorHAnsi"/>
                <w:color w:val="000000"/>
                <w:sz w:val="16"/>
                <w:szCs w:val="16"/>
                <w:lang w:val="es-CO" w:eastAsia="es-CO"/>
              </w:rPr>
              <w:br/>
            </w:r>
            <w:r w:rsidRPr="007C4117">
              <w:rPr>
                <w:rFonts w:asciiTheme="minorHAnsi" w:hAnsiTheme="minorHAnsi" w:cstheme="minorHAnsi"/>
                <w:sz w:val="16"/>
                <w:szCs w:val="16"/>
                <w:lang w:val="es-CO" w:eastAsia="es-CO"/>
              </w:rPr>
              <w:br/>
            </w:r>
            <w:r w:rsidRPr="007C4117">
              <w:rPr>
                <w:rFonts w:asciiTheme="minorHAnsi" w:hAnsiTheme="minorHAnsi" w:cstheme="minorHAnsi"/>
                <w:b/>
                <w:bCs/>
                <w:sz w:val="16"/>
                <w:szCs w:val="16"/>
                <w:lang w:val="es-CO" w:eastAsia="es-CO"/>
              </w:rPr>
              <w:t>Informe para revelaciones:</w:t>
            </w:r>
            <w:r w:rsidRPr="007C4117">
              <w:rPr>
                <w:rFonts w:asciiTheme="minorHAnsi" w:hAnsiTheme="minorHAnsi" w:cstheme="minorHAnsi"/>
                <w:sz w:val="16"/>
                <w:szCs w:val="16"/>
                <w:lang w:val="es-CO" w:eastAsia="es-CO"/>
              </w:rPr>
              <w:br/>
            </w:r>
            <w:r w:rsidRPr="007C4117">
              <w:rPr>
                <w:rFonts w:asciiTheme="minorHAnsi" w:hAnsiTheme="minorHAnsi" w:cstheme="minorHAnsi"/>
                <w:sz w:val="16"/>
                <w:szCs w:val="16"/>
                <w:lang w:val="es-CO" w:eastAsia="es-CO"/>
              </w:rPr>
              <w:br/>
              <w:t xml:space="preserve"> -El área de Tesorería remite a Contabilidad al cierre de la vigencia,  un informe que contenga el valor en libros y  las condiciones de los préstamos por cobrar, tales como: plazo, tasa de interés y vencimiento.</w:t>
            </w:r>
            <w:r w:rsidRPr="007C4117">
              <w:rPr>
                <w:rFonts w:asciiTheme="minorHAnsi" w:hAnsiTheme="minorHAnsi" w:cstheme="minorHAnsi"/>
                <w:sz w:val="16"/>
                <w:szCs w:val="16"/>
                <w:lang w:val="es-CO" w:eastAsia="es-CO"/>
              </w:rPr>
              <w:br/>
              <w:t xml:space="preserve">- Remitir al área de Contabilidad por parte de la Oficina Asesora Jurídica, informe si hay indicios de deterioro o reversión, en forma individualizada   </w:t>
            </w:r>
            <w:r w:rsidRPr="000B0F0A">
              <w:rPr>
                <w:rFonts w:asciiTheme="minorHAnsi" w:hAnsiTheme="minorHAnsi" w:cstheme="minorHAnsi"/>
                <w:sz w:val="16"/>
                <w:szCs w:val="16"/>
                <w:lang w:val="es-CO" w:eastAsia="es-CO"/>
              </w:rPr>
              <w:t xml:space="preserve">y el análisis de los préstamos por cobrar que se hayan determinado individualmente como deteriorados al final del periodo, incluyendo los factores que la entidad haya considerado para determinar su deterioro. </w:t>
            </w:r>
            <w:r w:rsidRPr="000B0F0A">
              <w:rPr>
                <w:rFonts w:asciiTheme="minorHAnsi" w:hAnsiTheme="minorHAnsi" w:cstheme="minorHAnsi"/>
                <w:sz w:val="16"/>
                <w:szCs w:val="16"/>
                <w:lang w:val="es-CO" w:eastAsia="es-CO"/>
              </w:rPr>
              <w:br/>
              <w:t>- La Oficina Asesora Jurídica debe remitir al área de contabilidad un análisis de la antigüedad de los préstamos por cobrar que estén en mora pero no deterioradas al final del periodo, si esto ocurre.</w:t>
            </w:r>
          </w:p>
        </w:tc>
        <w:tc>
          <w:tcPr>
            <w:tcW w:w="3544" w:type="dxa"/>
            <w:vMerge w:val="restart"/>
            <w:tcBorders>
              <w:top w:val="nil"/>
              <w:left w:val="nil"/>
              <w:right w:val="single" w:sz="4" w:space="0" w:color="auto"/>
            </w:tcBorders>
            <w:shd w:val="clear" w:color="auto" w:fill="auto"/>
            <w:vAlign w:val="center"/>
            <w:hideMark/>
          </w:tcPr>
          <w:p w14:paraId="2BFB96FB" w14:textId="77777777" w:rsidR="005352D6" w:rsidRPr="000B0F0A" w:rsidRDefault="005352D6" w:rsidP="00ED72C2">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b/>
                <w:bCs/>
                <w:color w:val="000000"/>
                <w:sz w:val="16"/>
                <w:szCs w:val="16"/>
                <w:lang w:val="es-CO" w:eastAsia="es-CO"/>
              </w:rPr>
              <w:t>12.4.2</w:t>
            </w:r>
            <w:r w:rsidRPr="000B0F0A">
              <w:rPr>
                <w:rFonts w:asciiTheme="minorHAnsi" w:hAnsiTheme="minorHAnsi" w:cstheme="minorHAnsi"/>
                <w:color w:val="000000"/>
                <w:sz w:val="16"/>
                <w:szCs w:val="16"/>
                <w:lang w:val="es-CO" w:eastAsia="es-CO"/>
              </w:rPr>
              <w:t xml:space="preserve"> </w:t>
            </w:r>
            <w:r w:rsidRPr="000B0F0A">
              <w:rPr>
                <w:rFonts w:asciiTheme="minorHAnsi" w:hAnsiTheme="minorHAnsi" w:cstheme="minorHAnsi"/>
                <w:b/>
                <w:bCs/>
                <w:color w:val="000000"/>
                <w:sz w:val="16"/>
                <w:szCs w:val="16"/>
                <w:lang w:val="es-CO" w:eastAsia="es-CO"/>
              </w:rPr>
              <w:t>Préstamo por cobrar-Reconocimiento:</w:t>
            </w:r>
            <w:r w:rsidRPr="000B0F0A">
              <w:rPr>
                <w:rFonts w:asciiTheme="minorHAnsi" w:hAnsiTheme="minorHAnsi" w:cstheme="minorHAnsi"/>
                <w:color w:val="000000"/>
                <w:sz w:val="16"/>
                <w:szCs w:val="16"/>
                <w:lang w:val="es-CO" w:eastAsia="es-CO"/>
              </w:rPr>
              <w:t xml:space="preserve"> </w:t>
            </w:r>
            <w:r w:rsidRPr="000B0F0A">
              <w:rPr>
                <w:rFonts w:asciiTheme="minorHAnsi" w:hAnsiTheme="minorHAnsi" w:cstheme="minorHAnsi"/>
                <w:i/>
                <w:iCs/>
                <w:color w:val="000000"/>
                <w:sz w:val="16"/>
                <w:szCs w:val="16"/>
                <w:lang w:val="es-CO" w:eastAsia="es-CO"/>
              </w:rPr>
              <w:t xml:space="preserve">"Se reconocerán como préstamos por cobrar los recursos financieros que el IDRD destine para el uso por parte de un tercero, de los cuales se espere, a futuro, la entrada de un flujo financiero fijo o determinable, a través de efectivo, equivalentes al efectivo u otro instrumento financiero." </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b/>
                <w:bCs/>
                <w:i/>
                <w:iCs/>
                <w:color w:val="000000"/>
                <w:sz w:val="16"/>
                <w:szCs w:val="16"/>
                <w:lang w:val="es-CO" w:eastAsia="es-CO"/>
              </w:rPr>
              <w:t>12.4.4 Medición posterior:</w:t>
            </w:r>
            <w:r w:rsidRPr="000B0F0A">
              <w:rPr>
                <w:rFonts w:asciiTheme="minorHAnsi" w:hAnsiTheme="minorHAnsi" w:cstheme="minorHAnsi"/>
                <w:i/>
                <w:iCs/>
                <w:color w:val="000000"/>
                <w:sz w:val="16"/>
                <w:szCs w:val="16"/>
                <w:lang w:val="es-CO" w:eastAsia="es-CO"/>
              </w:rPr>
              <w:t xml:space="preserve"> "…Los préstamos por cobrar serán objeto de estimaciones de deterioro cuando exista evidencia objetiva del incumplimiento de los pagos a cargo del deudor o del desmejoramiento de sus condiciones crediticias. Para el efecto, por lo menos al final del periodo contable, se verificará si existen indicios de deterioro...".</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b/>
                <w:bCs/>
                <w:i/>
                <w:iCs/>
                <w:color w:val="000000"/>
                <w:sz w:val="16"/>
                <w:szCs w:val="16"/>
                <w:lang w:val="es-CO" w:eastAsia="es-CO"/>
              </w:rPr>
              <w:t>12.4.6 Revelaciones:</w:t>
            </w:r>
            <w:r w:rsidRPr="000B0F0A">
              <w:rPr>
                <w:rFonts w:asciiTheme="minorHAnsi" w:hAnsiTheme="minorHAnsi" w:cstheme="minorHAnsi"/>
                <w:i/>
                <w:iCs/>
                <w:color w:val="000000"/>
                <w:sz w:val="16"/>
                <w:szCs w:val="16"/>
                <w:lang w:val="es-CO" w:eastAsia="es-CO"/>
              </w:rPr>
              <w:t xml:space="preserve"> "...se revelará: -Un análisis de la antigüedad de los préstamos por cobrar que estén en mora, pero no deterioradas al final del periodo."</w:t>
            </w:r>
          </w:p>
        </w:tc>
        <w:tc>
          <w:tcPr>
            <w:tcW w:w="1276" w:type="dxa"/>
            <w:tcBorders>
              <w:top w:val="nil"/>
              <w:left w:val="nil"/>
              <w:bottom w:val="single" w:sz="4" w:space="0" w:color="auto"/>
              <w:right w:val="single" w:sz="4" w:space="0" w:color="auto"/>
            </w:tcBorders>
            <w:shd w:val="clear" w:color="auto" w:fill="auto"/>
            <w:vAlign w:val="center"/>
            <w:hideMark/>
          </w:tcPr>
          <w:p w14:paraId="6DDBD2B4" w14:textId="5BC5AED7" w:rsidR="005352D6" w:rsidRPr="000B0F0A" w:rsidRDefault="005352D6"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Talento Humano</w:t>
            </w:r>
            <w:r w:rsidRPr="000B0F0A">
              <w:rPr>
                <w:rFonts w:asciiTheme="minorHAnsi" w:hAnsiTheme="minorHAnsi" w:cstheme="minorHAnsi"/>
                <w:sz w:val="16"/>
                <w:szCs w:val="16"/>
                <w:lang w:val="es-CO" w:eastAsia="es-CO"/>
              </w:rPr>
              <w:t xml:space="preserve"> </w:t>
            </w:r>
          </w:p>
        </w:tc>
        <w:tc>
          <w:tcPr>
            <w:tcW w:w="1984" w:type="dxa"/>
            <w:vMerge w:val="restart"/>
            <w:tcBorders>
              <w:top w:val="nil"/>
              <w:left w:val="nil"/>
              <w:right w:val="single" w:sz="4" w:space="0" w:color="auto"/>
            </w:tcBorders>
            <w:shd w:val="clear" w:color="auto" w:fill="auto"/>
            <w:vAlign w:val="center"/>
            <w:hideMark/>
          </w:tcPr>
          <w:p w14:paraId="043C47EF" w14:textId="77777777" w:rsidR="005352D6" w:rsidRDefault="00BF6AA9"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Mensualmente</w:t>
            </w:r>
          </w:p>
          <w:p w14:paraId="7E061802" w14:textId="77777777" w:rsidR="00BF6AA9" w:rsidRDefault="00BF6AA9" w:rsidP="00ED72C2">
            <w:pPr>
              <w:suppressAutoHyphens w:val="0"/>
              <w:autoSpaceDN/>
              <w:jc w:val="center"/>
              <w:textAlignment w:val="auto"/>
              <w:rPr>
                <w:rFonts w:asciiTheme="minorHAnsi" w:hAnsiTheme="minorHAnsi" w:cstheme="minorHAnsi"/>
                <w:sz w:val="16"/>
                <w:szCs w:val="16"/>
                <w:lang w:val="es-CO" w:eastAsia="es-CO"/>
              </w:rPr>
            </w:pPr>
          </w:p>
          <w:p w14:paraId="252F3416" w14:textId="78844B20" w:rsidR="00BF6AA9" w:rsidRPr="000B0F0A" w:rsidRDefault="00BF6AA9"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Anualmente</w:t>
            </w:r>
          </w:p>
        </w:tc>
        <w:tc>
          <w:tcPr>
            <w:tcW w:w="1559" w:type="dxa"/>
            <w:tcBorders>
              <w:top w:val="nil"/>
              <w:left w:val="nil"/>
              <w:bottom w:val="single" w:sz="4" w:space="0" w:color="auto"/>
              <w:right w:val="single" w:sz="4" w:space="0" w:color="auto"/>
            </w:tcBorders>
            <w:shd w:val="clear" w:color="auto" w:fill="auto"/>
            <w:vAlign w:val="center"/>
            <w:hideMark/>
          </w:tcPr>
          <w:p w14:paraId="1EEDEAAA" w14:textId="0450A17F" w:rsidR="005352D6" w:rsidRPr="000B0F0A" w:rsidRDefault="005352D6" w:rsidP="00ED72C2">
            <w:pPr>
              <w:suppressAutoHyphens w:val="0"/>
              <w:autoSpaceDN/>
              <w:jc w:val="center"/>
              <w:textAlignment w:val="auto"/>
              <w:rPr>
                <w:rFonts w:asciiTheme="minorHAnsi" w:hAnsiTheme="minorHAnsi" w:cstheme="minorHAnsi"/>
                <w:sz w:val="16"/>
                <w:szCs w:val="16"/>
                <w:lang w:val="es-CO" w:eastAsia="es-CO"/>
              </w:rPr>
            </w:pPr>
            <w:r w:rsidRPr="005352D6">
              <w:rPr>
                <w:rFonts w:asciiTheme="minorHAnsi" w:hAnsiTheme="minorHAnsi" w:cstheme="minorHAnsi"/>
                <w:sz w:val="16"/>
                <w:szCs w:val="16"/>
                <w:lang w:val="es-CO" w:eastAsia="es-CO"/>
              </w:rPr>
              <w:t>20213000124263</w:t>
            </w:r>
          </w:p>
        </w:tc>
        <w:tc>
          <w:tcPr>
            <w:tcW w:w="993" w:type="dxa"/>
            <w:vMerge w:val="restart"/>
            <w:tcBorders>
              <w:top w:val="nil"/>
              <w:left w:val="nil"/>
              <w:right w:val="single" w:sz="4" w:space="0" w:color="auto"/>
            </w:tcBorders>
            <w:shd w:val="clear" w:color="auto" w:fill="FFD966" w:themeFill="accent4" w:themeFillTint="99"/>
            <w:vAlign w:val="center"/>
            <w:hideMark/>
          </w:tcPr>
          <w:p w14:paraId="749DBBC3" w14:textId="77777777" w:rsidR="005352D6" w:rsidRDefault="00905110" w:rsidP="00EC5F4E">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PARCIAL</w:t>
            </w:r>
          </w:p>
          <w:p w14:paraId="65649C72" w14:textId="77691206" w:rsidR="00905110" w:rsidRDefault="00E7629D" w:rsidP="00EC5F4E">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6</w:t>
            </w:r>
            <w:r w:rsidR="00B00425">
              <w:rPr>
                <w:rFonts w:asciiTheme="minorHAnsi" w:hAnsiTheme="minorHAnsi" w:cstheme="minorHAnsi"/>
                <w:sz w:val="16"/>
                <w:szCs w:val="16"/>
                <w:lang w:val="es-CO" w:eastAsia="es-CO"/>
              </w:rPr>
              <w:t>6.</w:t>
            </w:r>
            <w:r w:rsidR="00E74207">
              <w:rPr>
                <w:rFonts w:asciiTheme="minorHAnsi" w:hAnsiTheme="minorHAnsi" w:cstheme="minorHAnsi"/>
                <w:sz w:val="16"/>
                <w:szCs w:val="16"/>
                <w:lang w:val="es-CO" w:eastAsia="es-CO"/>
              </w:rPr>
              <w:t>7</w:t>
            </w:r>
            <w:r w:rsidR="00905110">
              <w:rPr>
                <w:rFonts w:asciiTheme="minorHAnsi" w:hAnsiTheme="minorHAnsi" w:cstheme="minorHAnsi"/>
                <w:sz w:val="16"/>
                <w:szCs w:val="16"/>
                <w:lang w:val="es-CO" w:eastAsia="es-CO"/>
              </w:rPr>
              <w:t>%</w:t>
            </w:r>
          </w:p>
          <w:p w14:paraId="3155335A" w14:textId="77777777" w:rsidR="00E7629D" w:rsidRDefault="00E7629D" w:rsidP="00EC5F4E">
            <w:pPr>
              <w:suppressAutoHyphens w:val="0"/>
              <w:autoSpaceDN/>
              <w:textAlignment w:val="auto"/>
              <w:rPr>
                <w:rFonts w:asciiTheme="minorHAnsi" w:hAnsiTheme="minorHAnsi" w:cstheme="minorHAnsi"/>
                <w:sz w:val="16"/>
                <w:szCs w:val="16"/>
                <w:lang w:val="es-CO" w:eastAsia="es-CO"/>
              </w:rPr>
            </w:pPr>
          </w:p>
          <w:p w14:paraId="08200F31" w14:textId="77777777" w:rsidR="00E7629D" w:rsidRDefault="00E7629D" w:rsidP="00EC5F4E">
            <w:pPr>
              <w:suppressAutoHyphens w:val="0"/>
              <w:autoSpaceDN/>
              <w:textAlignment w:val="auto"/>
              <w:rPr>
                <w:rFonts w:asciiTheme="minorHAnsi" w:hAnsiTheme="minorHAnsi" w:cstheme="minorHAnsi"/>
                <w:sz w:val="16"/>
                <w:szCs w:val="16"/>
                <w:lang w:val="es-CO" w:eastAsia="es-CO"/>
              </w:rPr>
            </w:pPr>
          </w:p>
          <w:p w14:paraId="143A805F" w14:textId="77777777" w:rsidR="00E7629D" w:rsidRDefault="00E7629D" w:rsidP="00EC5F4E">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(TH 100%</w:t>
            </w:r>
          </w:p>
          <w:p w14:paraId="03B8FB0D" w14:textId="77777777" w:rsidR="00E7629D" w:rsidRDefault="00E7629D" w:rsidP="00EC5F4E">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Tesorería 50%</w:t>
            </w:r>
          </w:p>
          <w:p w14:paraId="285037DA" w14:textId="5CB72145" w:rsidR="00E7629D" w:rsidRPr="000B0F0A" w:rsidRDefault="00E7629D" w:rsidP="00EC5F4E">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OAJ 50%)</w:t>
            </w:r>
          </w:p>
        </w:tc>
        <w:tc>
          <w:tcPr>
            <w:tcW w:w="4110" w:type="dxa"/>
            <w:tcBorders>
              <w:top w:val="nil"/>
              <w:left w:val="nil"/>
              <w:bottom w:val="single" w:sz="4" w:space="0" w:color="auto"/>
              <w:right w:val="single" w:sz="4" w:space="0" w:color="auto"/>
            </w:tcBorders>
            <w:shd w:val="clear" w:color="auto" w:fill="auto"/>
            <w:noWrap/>
            <w:vAlign w:val="center"/>
            <w:hideMark/>
          </w:tcPr>
          <w:p w14:paraId="0008DD17" w14:textId="3BB9F862" w:rsidR="004C5A10" w:rsidRDefault="005352D6" w:rsidP="00EC5F4E">
            <w:pPr>
              <w:suppressAutoHyphens w:val="0"/>
              <w:autoSpaceDN/>
              <w:textAlignment w:val="auto"/>
              <w:rPr>
                <w:rFonts w:asciiTheme="minorHAnsi" w:hAnsiTheme="minorHAnsi" w:cstheme="minorHAnsi"/>
                <w:bCs/>
                <w:sz w:val="16"/>
                <w:szCs w:val="16"/>
                <w:lang w:val="es-CO" w:eastAsia="es-CO"/>
              </w:rPr>
            </w:pPr>
            <w:r w:rsidRPr="005352D6">
              <w:rPr>
                <w:rFonts w:asciiTheme="minorHAnsi" w:hAnsiTheme="minorHAnsi" w:cstheme="minorHAnsi"/>
                <w:bCs/>
                <w:sz w:val="16"/>
                <w:szCs w:val="16"/>
                <w:lang w:val="es-CO" w:eastAsia="es-CO"/>
              </w:rPr>
              <w:t>La SAF</w:t>
            </w:r>
            <w:r w:rsidR="004C5A10">
              <w:rPr>
                <w:rFonts w:asciiTheme="minorHAnsi" w:hAnsiTheme="minorHAnsi" w:cstheme="minorHAnsi"/>
                <w:bCs/>
                <w:sz w:val="16"/>
                <w:szCs w:val="16"/>
                <w:lang w:val="es-CO" w:eastAsia="es-CO"/>
              </w:rPr>
              <w:t xml:space="preserve"> adjunta</w:t>
            </w:r>
            <w:r w:rsidRPr="005352D6">
              <w:rPr>
                <w:rFonts w:asciiTheme="minorHAnsi" w:hAnsiTheme="minorHAnsi" w:cstheme="minorHAnsi"/>
                <w:bCs/>
                <w:sz w:val="16"/>
                <w:szCs w:val="16"/>
                <w:lang w:val="es-CO" w:eastAsia="es-CO"/>
              </w:rPr>
              <w:t xml:space="preserve"> </w:t>
            </w:r>
            <w:r>
              <w:rPr>
                <w:rFonts w:asciiTheme="minorHAnsi" w:hAnsiTheme="minorHAnsi" w:cstheme="minorHAnsi"/>
                <w:bCs/>
                <w:sz w:val="16"/>
                <w:szCs w:val="16"/>
                <w:lang w:val="es-CO" w:eastAsia="es-CO"/>
              </w:rPr>
              <w:t>los siguientes</w:t>
            </w:r>
            <w:r w:rsidR="004C5A10">
              <w:rPr>
                <w:rFonts w:asciiTheme="minorHAnsi" w:hAnsiTheme="minorHAnsi" w:cstheme="minorHAnsi"/>
                <w:bCs/>
                <w:sz w:val="16"/>
                <w:szCs w:val="16"/>
                <w:lang w:val="es-CO" w:eastAsia="es-CO"/>
              </w:rPr>
              <w:t xml:space="preserve"> documentos:</w:t>
            </w:r>
          </w:p>
          <w:p w14:paraId="15A2391F" w14:textId="21FC4C94" w:rsidR="004C5A10" w:rsidRDefault="004C5A10" w:rsidP="00EC5F4E">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sidRPr="004C5A10">
              <w:rPr>
                <w:rFonts w:asciiTheme="minorHAnsi" w:hAnsiTheme="minorHAnsi" w:cstheme="minorHAnsi"/>
                <w:bCs/>
                <w:sz w:val="16"/>
                <w:szCs w:val="16"/>
                <w:lang w:val="es-CO" w:eastAsia="es-CO"/>
              </w:rPr>
              <w:t xml:space="preserve">Informe de descuentos por concepto de préstamos </w:t>
            </w:r>
            <w:r>
              <w:rPr>
                <w:rFonts w:asciiTheme="minorHAnsi" w:hAnsiTheme="minorHAnsi" w:cstheme="minorHAnsi"/>
                <w:bCs/>
                <w:sz w:val="16"/>
                <w:szCs w:val="16"/>
                <w:lang w:val="es-CO" w:eastAsia="es-CO"/>
              </w:rPr>
              <w:t>de vivienda, de los meses de dic-2020 y feb-21.</w:t>
            </w:r>
          </w:p>
          <w:p w14:paraId="1DF3A8AE" w14:textId="250E75C8" w:rsidR="004C5A10" w:rsidRDefault="004C5A10" w:rsidP="00EC5F4E">
            <w:pPr>
              <w:suppressAutoHyphens w:val="0"/>
              <w:autoSpaceDE w:val="0"/>
              <w:adjustRightInd w:val="0"/>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rsidRPr="004C5A10">
              <w:rPr>
                <w:rFonts w:asciiTheme="minorHAnsi" w:hAnsiTheme="minorHAnsi" w:cstheme="minorHAnsi"/>
                <w:bCs/>
                <w:sz w:val="16"/>
                <w:szCs w:val="16"/>
                <w:lang w:val="es-CO" w:eastAsia="es-CO"/>
              </w:rPr>
              <w:t xml:space="preserve">Informe de descuentos por concepto de intereses préstamos </w:t>
            </w:r>
            <w:r>
              <w:rPr>
                <w:rFonts w:asciiTheme="minorHAnsi" w:hAnsiTheme="minorHAnsi" w:cstheme="minorHAnsi"/>
                <w:bCs/>
                <w:sz w:val="16"/>
                <w:szCs w:val="16"/>
                <w:lang w:val="es-CO" w:eastAsia="es-CO"/>
              </w:rPr>
              <w:t>de vivienda, de los meses de dic-2020 y feb-21.</w:t>
            </w:r>
            <w:r>
              <w:rPr>
                <w:rFonts w:ascii="ArialMT" w:eastAsiaTheme="minorHAnsi" w:hAnsi="ArialMT" w:cs="ArialMT"/>
                <w:szCs w:val="22"/>
                <w:lang w:val="es-CO" w:eastAsia="en-US"/>
              </w:rPr>
              <w:t xml:space="preserve"> </w:t>
            </w:r>
            <w:r>
              <w:rPr>
                <w:rFonts w:asciiTheme="minorHAnsi" w:hAnsiTheme="minorHAnsi" w:cstheme="minorHAnsi"/>
                <w:bCs/>
                <w:sz w:val="16"/>
                <w:szCs w:val="16"/>
                <w:lang w:val="es-CO" w:eastAsia="es-CO"/>
              </w:rPr>
              <w:t>•</w:t>
            </w:r>
            <w:r w:rsidRPr="004C5A10">
              <w:rPr>
                <w:rFonts w:asciiTheme="minorHAnsi" w:hAnsiTheme="minorHAnsi" w:cstheme="minorHAnsi"/>
                <w:bCs/>
                <w:sz w:val="16"/>
                <w:szCs w:val="16"/>
                <w:lang w:val="es-CO" w:eastAsia="es-CO"/>
              </w:rPr>
              <w:t>Correo electrónico remitiendo los informes de des</w:t>
            </w:r>
            <w:r>
              <w:rPr>
                <w:rFonts w:asciiTheme="minorHAnsi" w:hAnsiTheme="minorHAnsi" w:cstheme="minorHAnsi"/>
                <w:bCs/>
                <w:sz w:val="16"/>
                <w:szCs w:val="16"/>
                <w:lang w:val="es-CO" w:eastAsia="es-CO"/>
              </w:rPr>
              <w:t xml:space="preserve">cuento por préstamo de vivienda </w:t>
            </w:r>
            <w:r w:rsidRPr="004C5A10">
              <w:rPr>
                <w:rFonts w:asciiTheme="minorHAnsi" w:hAnsiTheme="minorHAnsi" w:cstheme="minorHAnsi"/>
                <w:bCs/>
                <w:sz w:val="16"/>
                <w:szCs w:val="16"/>
                <w:lang w:val="es-CO" w:eastAsia="es-CO"/>
              </w:rPr>
              <w:t>e intereses de</w:t>
            </w:r>
            <w:r>
              <w:rPr>
                <w:rFonts w:asciiTheme="minorHAnsi" w:hAnsiTheme="minorHAnsi" w:cstheme="minorHAnsi"/>
                <w:bCs/>
                <w:sz w:val="16"/>
                <w:szCs w:val="16"/>
                <w:lang w:val="es-CO" w:eastAsia="es-CO"/>
              </w:rPr>
              <w:t xml:space="preserve"> </w:t>
            </w:r>
            <w:r w:rsidRPr="004C5A10">
              <w:rPr>
                <w:rFonts w:asciiTheme="minorHAnsi" w:hAnsiTheme="minorHAnsi" w:cstheme="minorHAnsi"/>
                <w:bCs/>
                <w:sz w:val="16"/>
                <w:szCs w:val="16"/>
                <w:lang w:val="es-CO" w:eastAsia="es-CO"/>
              </w:rPr>
              <w:t>l</w:t>
            </w:r>
            <w:r>
              <w:rPr>
                <w:rFonts w:asciiTheme="minorHAnsi" w:hAnsiTheme="minorHAnsi" w:cstheme="minorHAnsi"/>
                <w:bCs/>
                <w:sz w:val="16"/>
                <w:szCs w:val="16"/>
                <w:lang w:val="es-CO" w:eastAsia="es-CO"/>
              </w:rPr>
              <w:t>os</w:t>
            </w:r>
            <w:r w:rsidRPr="004C5A10">
              <w:rPr>
                <w:rFonts w:asciiTheme="minorHAnsi" w:hAnsiTheme="minorHAnsi" w:cstheme="minorHAnsi"/>
                <w:bCs/>
                <w:sz w:val="16"/>
                <w:szCs w:val="16"/>
                <w:lang w:val="es-CO" w:eastAsia="es-CO"/>
              </w:rPr>
              <w:t xml:space="preserve"> mes</w:t>
            </w:r>
            <w:r>
              <w:rPr>
                <w:rFonts w:asciiTheme="minorHAnsi" w:hAnsiTheme="minorHAnsi" w:cstheme="minorHAnsi"/>
                <w:bCs/>
                <w:sz w:val="16"/>
                <w:szCs w:val="16"/>
                <w:lang w:val="es-CO" w:eastAsia="es-CO"/>
              </w:rPr>
              <w:t>es de dic-</w:t>
            </w:r>
            <w:r w:rsidRPr="004C5A10">
              <w:rPr>
                <w:rFonts w:asciiTheme="minorHAnsi" w:hAnsiTheme="minorHAnsi" w:cstheme="minorHAnsi"/>
                <w:bCs/>
                <w:sz w:val="16"/>
                <w:szCs w:val="16"/>
                <w:lang w:val="es-CO" w:eastAsia="es-CO"/>
              </w:rPr>
              <w:t>2020</w:t>
            </w:r>
            <w:r>
              <w:rPr>
                <w:rFonts w:asciiTheme="minorHAnsi" w:hAnsiTheme="minorHAnsi" w:cstheme="minorHAnsi"/>
                <w:bCs/>
                <w:sz w:val="16"/>
                <w:szCs w:val="16"/>
                <w:lang w:val="es-CO" w:eastAsia="es-CO"/>
              </w:rPr>
              <w:t xml:space="preserve"> y feb-2021</w:t>
            </w:r>
            <w:r w:rsidRPr="004C5A10">
              <w:rPr>
                <w:rFonts w:asciiTheme="minorHAnsi" w:hAnsiTheme="minorHAnsi" w:cstheme="minorHAnsi"/>
                <w:bCs/>
                <w:sz w:val="16"/>
                <w:szCs w:val="16"/>
                <w:lang w:val="es-CO" w:eastAsia="es-CO"/>
              </w:rPr>
              <w:t xml:space="preserve"> al área de Contabilida</w:t>
            </w:r>
            <w:r>
              <w:rPr>
                <w:rFonts w:asciiTheme="minorHAnsi" w:hAnsiTheme="minorHAnsi" w:cstheme="minorHAnsi"/>
                <w:bCs/>
                <w:sz w:val="16"/>
                <w:szCs w:val="16"/>
                <w:lang w:val="es-CO" w:eastAsia="es-CO"/>
              </w:rPr>
              <w:t>d</w:t>
            </w:r>
          </w:p>
          <w:p w14:paraId="36C933CD" w14:textId="582A09C0" w:rsidR="004C5A10" w:rsidRDefault="004C5A10" w:rsidP="00EC5F4E">
            <w:pPr>
              <w:suppressAutoHyphens w:val="0"/>
              <w:autoSpaceDE w:val="0"/>
              <w:adjustRightInd w:val="0"/>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rsidR="001E1A45" w:rsidRPr="001E1A45">
              <w:rPr>
                <w:rFonts w:asciiTheme="minorHAnsi" w:hAnsiTheme="minorHAnsi" w:cstheme="minorHAnsi"/>
                <w:bCs/>
                <w:sz w:val="16"/>
                <w:szCs w:val="16"/>
                <w:lang w:val="es-CO" w:eastAsia="es-CO"/>
              </w:rPr>
              <w:t>Conciliación debidamente firmada de los p</w:t>
            </w:r>
            <w:r w:rsidR="001E1A45">
              <w:rPr>
                <w:rFonts w:asciiTheme="minorHAnsi" w:hAnsiTheme="minorHAnsi" w:cstheme="minorHAnsi"/>
                <w:bCs/>
                <w:sz w:val="16"/>
                <w:szCs w:val="16"/>
                <w:lang w:val="es-CO" w:eastAsia="es-CO"/>
              </w:rPr>
              <w:t>réstamos de vivienda de los meses de dic-2020 y feb-2021.</w:t>
            </w:r>
          </w:p>
          <w:p w14:paraId="287B7399" w14:textId="6486188C" w:rsidR="005352D6" w:rsidRPr="005352D6" w:rsidRDefault="001E1A45" w:rsidP="00EC5F4E">
            <w:pPr>
              <w:suppressAutoHyphens w:val="0"/>
              <w:autoSpaceDE w:val="0"/>
              <w:adjustRightInd w:val="0"/>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rsidRPr="001E1A45">
              <w:rPr>
                <w:rFonts w:asciiTheme="minorHAnsi" w:hAnsiTheme="minorHAnsi" w:cstheme="minorHAnsi"/>
                <w:bCs/>
                <w:sz w:val="16"/>
                <w:szCs w:val="16"/>
                <w:lang w:val="es-CO" w:eastAsia="es-CO"/>
              </w:rPr>
              <w:t>Correo remisión cop</w:t>
            </w:r>
            <w:r>
              <w:rPr>
                <w:rFonts w:asciiTheme="minorHAnsi" w:hAnsiTheme="minorHAnsi" w:cstheme="minorHAnsi"/>
                <w:bCs/>
                <w:sz w:val="16"/>
                <w:szCs w:val="16"/>
                <w:lang w:val="es-CO" w:eastAsia="es-CO"/>
              </w:rPr>
              <w:t>ia conciliación mes de dic-</w:t>
            </w:r>
            <w:r w:rsidRPr="001E1A45">
              <w:rPr>
                <w:rFonts w:asciiTheme="minorHAnsi" w:hAnsiTheme="minorHAnsi" w:cstheme="minorHAnsi"/>
                <w:bCs/>
                <w:sz w:val="16"/>
                <w:szCs w:val="16"/>
                <w:lang w:val="es-CO" w:eastAsia="es-CO"/>
              </w:rPr>
              <w:t xml:space="preserve"> 2020</w:t>
            </w:r>
            <w:r>
              <w:rPr>
                <w:rFonts w:asciiTheme="minorHAnsi" w:hAnsiTheme="minorHAnsi" w:cstheme="minorHAnsi"/>
                <w:bCs/>
                <w:sz w:val="16"/>
                <w:szCs w:val="16"/>
                <w:lang w:val="es-CO" w:eastAsia="es-CO"/>
              </w:rPr>
              <w:t xml:space="preserve"> y feb-2021</w:t>
            </w:r>
            <w:r w:rsidR="008656BF">
              <w:rPr>
                <w:rFonts w:asciiTheme="minorHAnsi" w:hAnsiTheme="minorHAnsi" w:cstheme="minorHAnsi"/>
                <w:bCs/>
                <w:sz w:val="16"/>
                <w:szCs w:val="16"/>
                <w:lang w:val="es-CO" w:eastAsia="es-CO"/>
              </w:rPr>
              <w:t>.</w:t>
            </w:r>
          </w:p>
        </w:tc>
        <w:tc>
          <w:tcPr>
            <w:tcW w:w="3969" w:type="dxa"/>
            <w:vMerge w:val="restart"/>
            <w:tcBorders>
              <w:top w:val="nil"/>
              <w:left w:val="nil"/>
              <w:right w:val="single" w:sz="4" w:space="0" w:color="auto"/>
            </w:tcBorders>
            <w:shd w:val="clear" w:color="auto" w:fill="auto"/>
            <w:noWrap/>
            <w:vAlign w:val="center"/>
            <w:hideMark/>
          </w:tcPr>
          <w:p w14:paraId="14A6C87C" w14:textId="1F0033E1" w:rsidR="005352D6" w:rsidRPr="00DA494E" w:rsidRDefault="005352D6" w:rsidP="00F763E0">
            <w:pPr>
              <w:suppressAutoHyphens w:val="0"/>
              <w:autoSpaceDN/>
              <w:textAlignment w:val="auto"/>
              <w:rPr>
                <w:rFonts w:asciiTheme="minorHAnsi" w:eastAsiaTheme="minorHAnsi" w:hAnsiTheme="minorHAnsi" w:cstheme="minorHAnsi"/>
                <w:color w:val="000000"/>
                <w:sz w:val="16"/>
                <w:szCs w:val="16"/>
                <w:lang w:val="es-CO" w:eastAsia="en-US"/>
              </w:rPr>
            </w:pPr>
            <w:r w:rsidRPr="00DA494E">
              <w:rPr>
                <w:rFonts w:asciiTheme="minorHAnsi" w:eastAsiaTheme="minorHAnsi" w:hAnsiTheme="minorHAnsi" w:cstheme="minorHAnsi"/>
                <w:b/>
                <w:bCs/>
                <w:color w:val="000000"/>
                <w:sz w:val="16"/>
                <w:szCs w:val="16"/>
                <w:lang w:val="es-CO" w:eastAsia="en-US"/>
              </w:rPr>
              <w:t xml:space="preserve">CONCILIACIÓN </w:t>
            </w:r>
            <w:r w:rsidR="00D47EB9" w:rsidRPr="00DA494E">
              <w:rPr>
                <w:rFonts w:asciiTheme="minorHAnsi" w:eastAsiaTheme="minorHAnsi" w:hAnsiTheme="minorHAnsi" w:cstheme="minorHAnsi"/>
                <w:b/>
                <w:bCs/>
                <w:color w:val="000000"/>
                <w:sz w:val="16"/>
                <w:szCs w:val="16"/>
                <w:lang w:val="es-CO" w:eastAsia="en-US"/>
              </w:rPr>
              <w:t>DE LOS PRÉSTAMOS DE VIVIENDA A FUNCIONARIOS DEL IDRD</w:t>
            </w:r>
            <w:r w:rsidR="00D47EB9" w:rsidRPr="00DA494E">
              <w:rPr>
                <w:rFonts w:asciiTheme="minorHAnsi" w:eastAsiaTheme="minorHAnsi" w:hAnsiTheme="minorHAnsi" w:cstheme="minorHAnsi"/>
                <w:color w:val="000000"/>
                <w:sz w:val="16"/>
                <w:szCs w:val="16"/>
                <w:lang w:val="es-CO" w:eastAsia="en-US"/>
              </w:rPr>
              <w:t xml:space="preserve"> - </w:t>
            </w:r>
            <w:r w:rsidRPr="00DA494E">
              <w:rPr>
                <w:rFonts w:asciiTheme="minorHAnsi" w:eastAsiaTheme="minorHAnsi" w:hAnsiTheme="minorHAnsi" w:cstheme="minorHAnsi"/>
                <w:color w:val="000000"/>
                <w:sz w:val="16"/>
                <w:szCs w:val="16"/>
                <w:lang w:val="es-CO" w:eastAsia="en-US"/>
              </w:rPr>
              <w:t>Una vez revisada la información suministrada por SAF, se verifica la ej</w:t>
            </w:r>
            <w:r w:rsidR="00F065F3" w:rsidRPr="00DA494E">
              <w:rPr>
                <w:rFonts w:asciiTheme="minorHAnsi" w:eastAsiaTheme="minorHAnsi" w:hAnsiTheme="minorHAnsi" w:cstheme="minorHAnsi"/>
                <w:color w:val="000000"/>
                <w:sz w:val="16"/>
                <w:szCs w:val="16"/>
                <w:lang w:val="es-CO" w:eastAsia="en-US"/>
              </w:rPr>
              <w:t>ecución de la actividad del PSC para los meses de dic-2020 y feb-2021</w:t>
            </w:r>
          </w:p>
          <w:p w14:paraId="3809FD22" w14:textId="4378C439" w:rsidR="00A63FA0" w:rsidRPr="00F763E0" w:rsidRDefault="00A63FA0" w:rsidP="00F763E0">
            <w:pPr>
              <w:pStyle w:val="Default"/>
              <w:jc w:val="both"/>
              <w:rPr>
                <w:rFonts w:asciiTheme="minorHAnsi" w:hAnsiTheme="minorHAnsi" w:cstheme="minorHAnsi"/>
                <w:sz w:val="16"/>
                <w:szCs w:val="16"/>
              </w:rPr>
            </w:pPr>
          </w:p>
          <w:p w14:paraId="5D3DC7BF" w14:textId="6D553EF3" w:rsidR="00D47EB9" w:rsidRPr="00DA494E" w:rsidRDefault="00D47EB9" w:rsidP="00F763E0">
            <w:pPr>
              <w:suppressAutoHyphens w:val="0"/>
              <w:autoSpaceDN/>
              <w:textAlignment w:val="auto"/>
              <w:rPr>
                <w:rFonts w:asciiTheme="minorHAnsi" w:eastAsiaTheme="minorHAnsi" w:hAnsiTheme="minorHAnsi" w:cstheme="minorHAnsi"/>
                <w:color w:val="000000"/>
                <w:sz w:val="16"/>
                <w:szCs w:val="16"/>
                <w:lang w:val="es-CO" w:eastAsia="en-US"/>
              </w:rPr>
            </w:pPr>
            <w:r w:rsidRPr="00DA494E">
              <w:rPr>
                <w:rFonts w:asciiTheme="minorHAnsi" w:eastAsiaTheme="minorHAnsi" w:hAnsiTheme="minorHAnsi" w:cstheme="minorHAnsi"/>
                <w:b/>
                <w:bCs/>
                <w:color w:val="000000"/>
                <w:sz w:val="16"/>
                <w:szCs w:val="16"/>
                <w:lang w:val="es-CO" w:eastAsia="en-US"/>
              </w:rPr>
              <w:t>CONCILIACIÓN DE LOS PRÉSTAMOS DE VIVIENDA A EXFUNCIONARIOS DEL IDRD</w:t>
            </w:r>
            <w:r w:rsidRPr="00DA494E">
              <w:rPr>
                <w:rFonts w:asciiTheme="minorHAnsi" w:eastAsiaTheme="minorHAnsi" w:hAnsiTheme="minorHAnsi" w:cstheme="minorHAnsi"/>
                <w:color w:val="000000"/>
                <w:sz w:val="16"/>
                <w:szCs w:val="16"/>
                <w:lang w:val="es-CO" w:eastAsia="en-US"/>
              </w:rPr>
              <w:t xml:space="preserve"> - Una vez revisada la </w:t>
            </w:r>
            <w:r w:rsidR="002F609B" w:rsidRPr="00DA494E">
              <w:rPr>
                <w:rFonts w:asciiTheme="minorHAnsi" w:eastAsiaTheme="minorHAnsi" w:hAnsiTheme="minorHAnsi" w:cstheme="minorHAnsi"/>
                <w:color w:val="000000"/>
                <w:sz w:val="16"/>
                <w:szCs w:val="16"/>
                <w:lang w:val="es-CO" w:eastAsia="en-US"/>
              </w:rPr>
              <w:t>información suministrada por Tesorería</w:t>
            </w:r>
            <w:r w:rsidRPr="00DA494E">
              <w:rPr>
                <w:rFonts w:asciiTheme="minorHAnsi" w:eastAsiaTheme="minorHAnsi" w:hAnsiTheme="minorHAnsi" w:cstheme="minorHAnsi"/>
                <w:color w:val="000000"/>
                <w:sz w:val="16"/>
                <w:szCs w:val="16"/>
                <w:lang w:val="es-CO" w:eastAsia="en-US"/>
              </w:rPr>
              <w:t>, se verifica la ejecución de la actividad del PSC para los meses de dic-2020 y feb-2021</w:t>
            </w:r>
          </w:p>
          <w:p w14:paraId="0B0C9793" w14:textId="77777777" w:rsidR="00D47EB9" w:rsidRPr="00F763E0" w:rsidRDefault="00D47EB9" w:rsidP="00F763E0">
            <w:pPr>
              <w:pStyle w:val="Default"/>
              <w:jc w:val="both"/>
              <w:rPr>
                <w:rFonts w:asciiTheme="minorHAnsi" w:hAnsiTheme="minorHAnsi" w:cstheme="minorHAnsi"/>
                <w:sz w:val="16"/>
                <w:szCs w:val="16"/>
              </w:rPr>
            </w:pPr>
          </w:p>
          <w:p w14:paraId="2DB474BA" w14:textId="1D828A4F" w:rsidR="005352D6" w:rsidRPr="00F763E0" w:rsidRDefault="005352D6" w:rsidP="00F763E0">
            <w:pPr>
              <w:pStyle w:val="Default"/>
              <w:jc w:val="both"/>
              <w:rPr>
                <w:rFonts w:asciiTheme="minorHAnsi" w:hAnsiTheme="minorHAnsi" w:cstheme="minorHAnsi"/>
                <w:sz w:val="16"/>
                <w:szCs w:val="16"/>
              </w:rPr>
            </w:pPr>
            <w:r w:rsidRPr="00DA494E">
              <w:rPr>
                <w:rFonts w:asciiTheme="minorHAnsi" w:hAnsiTheme="minorHAnsi" w:cstheme="minorHAnsi"/>
                <w:b/>
                <w:bCs/>
                <w:sz w:val="16"/>
                <w:szCs w:val="16"/>
              </w:rPr>
              <w:t>INFORME DE DETERIORO O REVERSIÓN</w:t>
            </w:r>
            <w:r w:rsidRPr="00DA494E">
              <w:rPr>
                <w:rFonts w:asciiTheme="minorHAnsi" w:hAnsiTheme="minorHAnsi" w:cstheme="minorHAnsi"/>
                <w:sz w:val="16"/>
                <w:szCs w:val="16"/>
              </w:rPr>
              <w:t xml:space="preserve"> </w:t>
            </w:r>
            <w:r w:rsidR="0070382C" w:rsidRPr="00F763E0">
              <w:rPr>
                <w:rFonts w:asciiTheme="minorHAnsi" w:hAnsiTheme="minorHAnsi" w:cstheme="minorHAnsi"/>
                <w:sz w:val="16"/>
                <w:szCs w:val="16"/>
              </w:rPr>
              <w:t>–</w:t>
            </w:r>
            <w:r w:rsidRPr="00F763E0">
              <w:rPr>
                <w:rFonts w:asciiTheme="minorHAnsi" w:hAnsiTheme="minorHAnsi" w:cstheme="minorHAnsi"/>
                <w:sz w:val="16"/>
                <w:szCs w:val="16"/>
              </w:rPr>
              <w:t xml:space="preserve"> </w:t>
            </w:r>
            <w:r w:rsidR="0070382C" w:rsidRPr="00DA494E">
              <w:rPr>
                <w:rFonts w:asciiTheme="minorHAnsi" w:hAnsiTheme="minorHAnsi" w:cstheme="minorHAnsi"/>
                <w:sz w:val="16"/>
                <w:szCs w:val="16"/>
              </w:rPr>
              <w:t>Mediante memorando</w:t>
            </w:r>
            <w:r w:rsidR="001A1B7D" w:rsidRPr="00DA494E">
              <w:rPr>
                <w:rFonts w:asciiTheme="minorHAnsi" w:hAnsiTheme="minorHAnsi" w:cstheme="minorHAnsi"/>
                <w:sz w:val="16"/>
                <w:szCs w:val="16"/>
              </w:rPr>
              <w:t xml:space="preserve"> 13953</w:t>
            </w:r>
            <w:r w:rsidR="0070382C" w:rsidRPr="00DA494E">
              <w:rPr>
                <w:rFonts w:asciiTheme="minorHAnsi" w:hAnsiTheme="minorHAnsi" w:cstheme="minorHAnsi"/>
                <w:sz w:val="16"/>
                <w:szCs w:val="16"/>
              </w:rPr>
              <w:t xml:space="preserve"> la OAJ informa el Estado de las deudas de difícil</w:t>
            </w:r>
            <w:r w:rsidR="00F3414A" w:rsidRPr="00DA494E">
              <w:rPr>
                <w:rFonts w:asciiTheme="minorHAnsi" w:hAnsiTheme="minorHAnsi" w:cstheme="minorHAnsi"/>
                <w:sz w:val="16"/>
                <w:szCs w:val="16"/>
              </w:rPr>
              <w:t xml:space="preserve"> cobro</w:t>
            </w:r>
            <w:r w:rsidR="0070382C" w:rsidRPr="00DA494E">
              <w:rPr>
                <w:rFonts w:asciiTheme="minorHAnsi" w:hAnsiTheme="minorHAnsi" w:cstheme="minorHAnsi"/>
                <w:sz w:val="16"/>
                <w:szCs w:val="16"/>
              </w:rPr>
              <w:t xml:space="preserve"> </w:t>
            </w:r>
            <w:r w:rsidR="00905110" w:rsidRPr="00DA494E">
              <w:rPr>
                <w:rFonts w:asciiTheme="minorHAnsi" w:hAnsiTheme="minorHAnsi" w:cstheme="minorHAnsi"/>
                <w:sz w:val="16"/>
                <w:szCs w:val="16"/>
              </w:rPr>
              <w:t>de la vigencia 2020 y el valor que se estima recuperar.</w:t>
            </w:r>
          </w:p>
          <w:p w14:paraId="65E36AB2" w14:textId="77777777" w:rsidR="0070382C" w:rsidRPr="00F763E0" w:rsidRDefault="0070382C" w:rsidP="00F763E0">
            <w:pPr>
              <w:pStyle w:val="Default"/>
              <w:jc w:val="both"/>
              <w:rPr>
                <w:rFonts w:asciiTheme="minorHAnsi" w:hAnsiTheme="minorHAnsi" w:cstheme="minorHAnsi"/>
                <w:sz w:val="16"/>
                <w:szCs w:val="16"/>
              </w:rPr>
            </w:pPr>
          </w:p>
          <w:p w14:paraId="7EEEDFA7" w14:textId="1173C45C" w:rsidR="005352D6" w:rsidRPr="00F763E0" w:rsidRDefault="009952D9" w:rsidP="00F763E0">
            <w:pPr>
              <w:pStyle w:val="Default"/>
              <w:jc w:val="both"/>
              <w:rPr>
                <w:rFonts w:asciiTheme="minorHAnsi" w:hAnsiTheme="minorHAnsi" w:cstheme="minorHAnsi"/>
                <w:sz w:val="16"/>
                <w:szCs w:val="16"/>
              </w:rPr>
            </w:pPr>
            <w:r w:rsidRPr="00DA494E">
              <w:rPr>
                <w:rFonts w:asciiTheme="minorHAnsi" w:hAnsiTheme="minorHAnsi" w:cstheme="minorHAnsi"/>
                <w:b/>
                <w:bCs/>
                <w:sz w:val="16"/>
                <w:szCs w:val="16"/>
              </w:rPr>
              <w:t>ANÁLISIS ANTIGÜ</w:t>
            </w:r>
            <w:r w:rsidR="005352D6" w:rsidRPr="00DA494E">
              <w:rPr>
                <w:rFonts w:asciiTheme="minorHAnsi" w:hAnsiTheme="minorHAnsi" w:cstheme="minorHAnsi"/>
                <w:b/>
                <w:bCs/>
                <w:sz w:val="16"/>
                <w:szCs w:val="16"/>
              </w:rPr>
              <w:t>EDAD PRESTAMOS POR COBRAR EN MORA</w:t>
            </w:r>
            <w:r w:rsidR="005352D6" w:rsidRPr="00DA494E">
              <w:rPr>
                <w:rFonts w:asciiTheme="minorHAnsi" w:hAnsiTheme="minorHAnsi" w:cstheme="minorHAnsi"/>
                <w:sz w:val="16"/>
                <w:szCs w:val="16"/>
              </w:rPr>
              <w:t xml:space="preserve"> </w:t>
            </w:r>
            <w:r w:rsidR="005352D6" w:rsidRPr="00F763E0">
              <w:rPr>
                <w:rFonts w:asciiTheme="minorHAnsi" w:hAnsiTheme="minorHAnsi" w:cstheme="minorHAnsi"/>
                <w:sz w:val="16"/>
                <w:szCs w:val="16"/>
              </w:rPr>
              <w:t xml:space="preserve">- No se suministró evidencia de la elaboración y remisión de este informe al área contable. De lo anterior, puede concluirse que el informe no se elaboró. </w:t>
            </w:r>
          </w:p>
          <w:p w14:paraId="409C9964" w14:textId="77777777" w:rsidR="00D47EB9" w:rsidRPr="00DA494E" w:rsidRDefault="00D47EB9" w:rsidP="005352D6">
            <w:pPr>
              <w:suppressAutoHyphens w:val="0"/>
              <w:autoSpaceDN/>
              <w:jc w:val="left"/>
              <w:textAlignment w:val="auto"/>
              <w:rPr>
                <w:rFonts w:asciiTheme="minorHAnsi" w:eastAsiaTheme="minorHAnsi" w:hAnsiTheme="minorHAnsi" w:cstheme="minorHAnsi"/>
                <w:color w:val="000000"/>
                <w:sz w:val="16"/>
                <w:szCs w:val="16"/>
                <w:lang w:val="es-CO" w:eastAsia="en-US"/>
              </w:rPr>
            </w:pPr>
          </w:p>
          <w:p w14:paraId="230E8069" w14:textId="0B799103" w:rsidR="00D47EB9" w:rsidRPr="00DA494E" w:rsidRDefault="00D47EB9" w:rsidP="00DA494E">
            <w:pPr>
              <w:pStyle w:val="Default"/>
              <w:jc w:val="both"/>
              <w:rPr>
                <w:rFonts w:asciiTheme="minorHAnsi" w:hAnsiTheme="minorHAnsi" w:cstheme="minorHAnsi"/>
                <w:sz w:val="16"/>
                <w:szCs w:val="16"/>
              </w:rPr>
            </w:pPr>
            <w:r w:rsidRPr="00DA494E">
              <w:rPr>
                <w:rFonts w:asciiTheme="minorHAnsi" w:hAnsiTheme="minorHAnsi" w:cstheme="minorHAnsi"/>
                <w:b/>
                <w:bCs/>
                <w:sz w:val="16"/>
                <w:szCs w:val="16"/>
              </w:rPr>
              <w:t>INFORME PARA REVELACIONES</w:t>
            </w:r>
            <w:r w:rsidRPr="00DA494E">
              <w:rPr>
                <w:rFonts w:asciiTheme="minorHAnsi" w:hAnsiTheme="minorHAnsi" w:cstheme="minorHAnsi"/>
                <w:sz w:val="16"/>
                <w:szCs w:val="16"/>
              </w:rPr>
              <w:t xml:space="preserve"> </w:t>
            </w:r>
            <w:r w:rsidR="00DA494E" w:rsidRPr="00DA494E">
              <w:rPr>
                <w:rFonts w:asciiTheme="minorHAnsi" w:hAnsiTheme="minorHAnsi" w:cstheme="minorHAnsi"/>
                <w:sz w:val="16"/>
                <w:szCs w:val="16"/>
              </w:rPr>
              <w:t>–</w:t>
            </w:r>
            <w:r w:rsidRPr="00DA494E">
              <w:rPr>
                <w:rFonts w:asciiTheme="minorHAnsi" w:hAnsiTheme="minorHAnsi" w:cstheme="minorHAnsi"/>
                <w:sz w:val="16"/>
                <w:szCs w:val="16"/>
              </w:rPr>
              <w:t xml:space="preserve"> </w:t>
            </w:r>
            <w:r w:rsidR="00DA494E" w:rsidRPr="00DA494E">
              <w:rPr>
                <w:rFonts w:asciiTheme="minorHAnsi" w:hAnsiTheme="minorHAnsi" w:cstheme="minorHAnsi"/>
                <w:sz w:val="16"/>
                <w:szCs w:val="16"/>
              </w:rPr>
              <w:t>El área de Contabilidad indica que “</w:t>
            </w:r>
            <w:r w:rsidR="00DA494E" w:rsidRPr="008656BF">
              <w:rPr>
                <w:rFonts w:asciiTheme="minorHAnsi" w:hAnsiTheme="minorHAnsi" w:cstheme="minorHAnsi"/>
                <w:i/>
                <w:sz w:val="16"/>
                <w:szCs w:val="16"/>
              </w:rPr>
              <w:t>El área de Tesorería con relación a los préstamos por cobrar de los funcionarios no participa en esta actividad en razón a que la misma se efectúa con el área de nóminas por ser un descuento que se directamente al empleado, donde el software está parametrizado la tasa y el plazo hasta su vencimiento”.</w:t>
            </w:r>
          </w:p>
        </w:tc>
      </w:tr>
      <w:tr w:rsidR="005352D6" w:rsidRPr="000B0F0A" w14:paraId="567A1B44" w14:textId="77777777" w:rsidTr="00EC5F4E">
        <w:trPr>
          <w:trHeight w:val="2965"/>
        </w:trPr>
        <w:tc>
          <w:tcPr>
            <w:tcW w:w="317" w:type="dxa"/>
            <w:vMerge/>
            <w:tcBorders>
              <w:left w:val="single" w:sz="4" w:space="0" w:color="auto"/>
              <w:right w:val="single" w:sz="4" w:space="0" w:color="auto"/>
            </w:tcBorders>
            <w:shd w:val="clear" w:color="auto" w:fill="auto"/>
            <w:vAlign w:val="center"/>
          </w:tcPr>
          <w:p w14:paraId="62A4046C" w14:textId="77777777" w:rsidR="005352D6" w:rsidRPr="000B0F0A" w:rsidRDefault="005352D6"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right w:val="single" w:sz="4" w:space="0" w:color="auto"/>
            </w:tcBorders>
            <w:shd w:val="clear" w:color="auto" w:fill="auto"/>
            <w:vAlign w:val="center"/>
          </w:tcPr>
          <w:p w14:paraId="494A9F2A" w14:textId="77777777" w:rsidR="005352D6" w:rsidRPr="000B0F0A" w:rsidRDefault="005352D6"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right w:val="single" w:sz="4" w:space="0" w:color="auto"/>
            </w:tcBorders>
            <w:shd w:val="clear" w:color="auto" w:fill="auto"/>
          </w:tcPr>
          <w:p w14:paraId="4EC8F8BB" w14:textId="77777777" w:rsidR="005352D6" w:rsidRPr="000B0F0A" w:rsidRDefault="005352D6" w:rsidP="00ED72C2">
            <w:pPr>
              <w:suppressAutoHyphens w:val="0"/>
              <w:autoSpaceDN/>
              <w:textAlignment w:val="auto"/>
              <w:rPr>
                <w:rFonts w:asciiTheme="minorHAnsi" w:hAnsiTheme="minorHAnsi" w:cstheme="minorHAnsi"/>
                <w:sz w:val="16"/>
                <w:szCs w:val="16"/>
                <w:lang w:val="es-CO" w:eastAsia="es-CO"/>
              </w:rPr>
            </w:pPr>
          </w:p>
        </w:tc>
        <w:tc>
          <w:tcPr>
            <w:tcW w:w="3544" w:type="dxa"/>
            <w:vMerge/>
            <w:tcBorders>
              <w:left w:val="nil"/>
              <w:right w:val="single" w:sz="4" w:space="0" w:color="auto"/>
            </w:tcBorders>
            <w:shd w:val="clear" w:color="auto" w:fill="auto"/>
            <w:vAlign w:val="center"/>
          </w:tcPr>
          <w:p w14:paraId="0EFAFC0C" w14:textId="77777777" w:rsidR="005352D6" w:rsidRPr="000B0F0A" w:rsidRDefault="005352D6" w:rsidP="00ED72C2">
            <w:pPr>
              <w:suppressAutoHyphens w:val="0"/>
              <w:autoSpaceDN/>
              <w:textAlignment w:val="auto"/>
              <w:rPr>
                <w:rFonts w:asciiTheme="minorHAnsi" w:hAnsiTheme="minorHAnsi" w:cstheme="minorHAnsi"/>
                <w:b/>
                <w:bCs/>
                <w:color w:val="000000"/>
                <w:sz w:val="16"/>
                <w:szCs w:val="16"/>
                <w:lang w:val="es-CO" w:eastAsia="es-C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DA4113B" w14:textId="3736B799" w:rsidR="005352D6" w:rsidRDefault="005352D6" w:rsidP="00ED72C2">
            <w:pPr>
              <w:jc w:val="center"/>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Tesorería</w:t>
            </w:r>
          </w:p>
        </w:tc>
        <w:tc>
          <w:tcPr>
            <w:tcW w:w="1984" w:type="dxa"/>
            <w:vMerge/>
            <w:tcBorders>
              <w:left w:val="nil"/>
              <w:right w:val="single" w:sz="4" w:space="0" w:color="auto"/>
            </w:tcBorders>
            <w:shd w:val="clear" w:color="auto" w:fill="auto"/>
            <w:vAlign w:val="center"/>
          </w:tcPr>
          <w:p w14:paraId="2A35D91B" w14:textId="77777777" w:rsidR="005352D6" w:rsidRPr="000B0F0A" w:rsidRDefault="005352D6"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ED69E06" w14:textId="6252A800" w:rsidR="005352D6" w:rsidRPr="000B0F0A" w:rsidRDefault="005352D6" w:rsidP="00ED72C2">
            <w:pPr>
              <w:jc w:val="center"/>
              <w:rPr>
                <w:rFonts w:asciiTheme="minorHAnsi" w:hAnsiTheme="minorHAnsi" w:cstheme="minorHAnsi"/>
                <w:sz w:val="16"/>
                <w:szCs w:val="16"/>
                <w:lang w:val="es-CO" w:eastAsia="es-CO"/>
              </w:rPr>
            </w:pPr>
            <w:r w:rsidRPr="00C8130F">
              <w:rPr>
                <w:rFonts w:asciiTheme="minorHAnsi" w:hAnsiTheme="minorHAnsi" w:cstheme="minorHAnsi"/>
                <w:sz w:val="16"/>
                <w:szCs w:val="16"/>
                <w:lang w:val="es-CO" w:eastAsia="es-CO"/>
              </w:rPr>
              <w:t>20213320125753</w:t>
            </w:r>
          </w:p>
        </w:tc>
        <w:tc>
          <w:tcPr>
            <w:tcW w:w="993" w:type="dxa"/>
            <w:vMerge/>
            <w:tcBorders>
              <w:left w:val="nil"/>
              <w:right w:val="single" w:sz="4" w:space="0" w:color="auto"/>
            </w:tcBorders>
            <w:shd w:val="clear" w:color="auto" w:fill="FFD966" w:themeFill="accent4" w:themeFillTint="99"/>
            <w:vAlign w:val="center"/>
          </w:tcPr>
          <w:p w14:paraId="3A793561" w14:textId="77777777" w:rsidR="005352D6" w:rsidRPr="000B0F0A" w:rsidRDefault="005352D6" w:rsidP="00EC5F4E">
            <w:pPr>
              <w:suppressAutoHyphens w:val="0"/>
              <w:autoSpaceDN/>
              <w:textAlignment w:val="auto"/>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5701A4FA" w14:textId="15F04D57" w:rsidR="005352D6" w:rsidRPr="00FA25A0" w:rsidRDefault="005352D6" w:rsidP="00EC5F4E">
            <w:pPr>
              <w:rPr>
                <w:rFonts w:asciiTheme="minorHAnsi" w:hAnsiTheme="minorHAnsi" w:cstheme="minorHAnsi"/>
                <w:bCs/>
                <w:i/>
                <w:sz w:val="16"/>
                <w:szCs w:val="16"/>
                <w:lang w:val="es-CO" w:eastAsia="es-CO"/>
              </w:rPr>
            </w:pPr>
            <w:r>
              <w:rPr>
                <w:rFonts w:asciiTheme="minorHAnsi" w:hAnsiTheme="minorHAnsi" w:cstheme="minorHAnsi"/>
                <w:bCs/>
                <w:sz w:val="16"/>
                <w:szCs w:val="16"/>
                <w:lang w:val="es-CO" w:eastAsia="es-CO"/>
              </w:rPr>
              <w:t xml:space="preserve">Tesorería informa que </w:t>
            </w:r>
            <w:r w:rsidRPr="00B21CAF">
              <w:rPr>
                <w:rFonts w:asciiTheme="minorHAnsi" w:hAnsiTheme="minorHAnsi" w:cstheme="minorHAnsi"/>
                <w:bCs/>
                <w:i/>
                <w:sz w:val="16"/>
                <w:szCs w:val="16"/>
                <w:lang w:val="es-CO" w:eastAsia="es-CO"/>
              </w:rPr>
              <w:t>“Se remiten las conciliaciones de préstamos a</w:t>
            </w:r>
            <w:r>
              <w:rPr>
                <w:rFonts w:asciiTheme="minorHAnsi" w:hAnsiTheme="minorHAnsi" w:cstheme="minorHAnsi"/>
                <w:bCs/>
                <w:i/>
                <w:sz w:val="16"/>
                <w:szCs w:val="16"/>
                <w:lang w:val="es-CO" w:eastAsia="es-CO"/>
              </w:rPr>
              <w:t xml:space="preserve"> </w:t>
            </w:r>
            <w:r w:rsidRPr="00B21CAF">
              <w:rPr>
                <w:rFonts w:asciiTheme="minorHAnsi" w:hAnsiTheme="minorHAnsi" w:cstheme="minorHAnsi"/>
                <w:bCs/>
                <w:i/>
                <w:sz w:val="16"/>
                <w:szCs w:val="16"/>
                <w:lang w:val="es-CO" w:eastAsia="es-CO"/>
              </w:rPr>
              <w:t>exfuncionarios de los meses de Diciembre de 2020 y Febrero 2021.</w:t>
            </w:r>
          </w:p>
        </w:tc>
        <w:tc>
          <w:tcPr>
            <w:tcW w:w="3969" w:type="dxa"/>
            <w:vMerge/>
            <w:tcBorders>
              <w:left w:val="nil"/>
              <w:right w:val="single" w:sz="4" w:space="0" w:color="auto"/>
            </w:tcBorders>
            <w:shd w:val="clear" w:color="auto" w:fill="auto"/>
            <w:noWrap/>
            <w:vAlign w:val="center"/>
          </w:tcPr>
          <w:p w14:paraId="7522E362" w14:textId="77777777" w:rsidR="005352D6" w:rsidRPr="000B0F0A" w:rsidRDefault="005352D6" w:rsidP="00ED72C2">
            <w:pPr>
              <w:jc w:val="left"/>
              <w:rPr>
                <w:rFonts w:asciiTheme="minorHAnsi" w:hAnsiTheme="minorHAnsi" w:cstheme="minorHAnsi"/>
                <w:b/>
                <w:bCs/>
                <w:sz w:val="16"/>
                <w:szCs w:val="16"/>
                <w:lang w:val="es-CO" w:eastAsia="es-CO"/>
              </w:rPr>
            </w:pPr>
          </w:p>
        </w:tc>
      </w:tr>
      <w:tr w:rsidR="005352D6" w:rsidRPr="000B0F0A" w14:paraId="6E596357" w14:textId="77777777" w:rsidTr="00EC5F4E">
        <w:trPr>
          <w:trHeight w:val="648"/>
        </w:trPr>
        <w:tc>
          <w:tcPr>
            <w:tcW w:w="317" w:type="dxa"/>
            <w:vMerge/>
            <w:tcBorders>
              <w:left w:val="single" w:sz="4" w:space="0" w:color="auto"/>
              <w:bottom w:val="single" w:sz="4" w:space="0" w:color="auto"/>
              <w:right w:val="single" w:sz="4" w:space="0" w:color="auto"/>
            </w:tcBorders>
            <w:shd w:val="clear" w:color="auto" w:fill="auto"/>
            <w:vAlign w:val="center"/>
          </w:tcPr>
          <w:p w14:paraId="5A352EF3" w14:textId="77777777" w:rsidR="005352D6" w:rsidRPr="000B0F0A" w:rsidRDefault="005352D6"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bottom w:val="single" w:sz="4" w:space="0" w:color="auto"/>
              <w:right w:val="single" w:sz="4" w:space="0" w:color="auto"/>
            </w:tcBorders>
            <w:shd w:val="clear" w:color="auto" w:fill="auto"/>
            <w:vAlign w:val="center"/>
          </w:tcPr>
          <w:p w14:paraId="45570AD3" w14:textId="77777777" w:rsidR="005352D6" w:rsidRPr="000B0F0A" w:rsidRDefault="005352D6"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bottom w:val="single" w:sz="4" w:space="0" w:color="auto"/>
              <w:right w:val="single" w:sz="4" w:space="0" w:color="auto"/>
            </w:tcBorders>
            <w:shd w:val="clear" w:color="auto" w:fill="auto"/>
          </w:tcPr>
          <w:p w14:paraId="374725BB" w14:textId="77777777" w:rsidR="005352D6" w:rsidRPr="000B0F0A" w:rsidRDefault="005352D6" w:rsidP="00ED72C2">
            <w:pPr>
              <w:suppressAutoHyphens w:val="0"/>
              <w:autoSpaceDN/>
              <w:textAlignment w:val="auto"/>
              <w:rPr>
                <w:rFonts w:asciiTheme="minorHAnsi" w:hAnsiTheme="minorHAnsi" w:cstheme="minorHAnsi"/>
                <w:sz w:val="16"/>
                <w:szCs w:val="16"/>
                <w:lang w:val="es-CO" w:eastAsia="es-CO"/>
              </w:rPr>
            </w:pPr>
          </w:p>
        </w:tc>
        <w:tc>
          <w:tcPr>
            <w:tcW w:w="3544" w:type="dxa"/>
            <w:vMerge/>
            <w:tcBorders>
              <w:left w:val="nil"/>
              <w:bottom w:val="single" w:sz="4" w:space="0" w:color="auto"/>
              <w:right w:val="single" w:sz="4" w:space="0" w:color="auto"/>
            </w:tcBorders>
            <w:shd w:val="clear" w:color="auto" w:fill="auto"/>
            <w:vAlign w:val="center"/>
          </w:tcPr>
          <w:p w14:paraId="3F7F520C" w14:textId="77777777" w:rsidR="005352D6" w:rsidRPr="000B0F0A" w:rsidRDefault="005352D6" w:rsidP="00ED72C2">
            <w:pPr>
              <w:suppressAutoHyphens w:val="0"/>
              <w:autoSpaceDN/>
              <w:textAlignment w:val="auto"/>
              <w:rPr>
                <w:rFonts w:asciiTheme="minorHAnsi" w:hAnsiTheme="minorHAnsi" w:cstheme="minorHAnsi"/>
                <w:b/>
                <w:bCs/>
                <w:color w:val="000000"/>
                <w:sz w:val="16"/>
                <w:szCs w:val="16"/>
                <w:lang w:val="es-CO" w:eastAsia="es-C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27B6B68" w14:textId="16B4046D" w:rsidR="005352D6" w:rsidRPr="000B0F0A" w:rsidRDefault="005352D6" w:rsidP="00ED72C2">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Oficina Asesora Jurídica</w:t>
            </w:r>
          </w:p>
        </w:tc>
        <w:tc>
          <w:tcPr>
            <w:tcW w:w="1984" w:type="dxa"/>
            <w:vMerge/>
            <w:tcBorders>
              <w:left w:val="nil"/>
              <w:bottom w:val="single" w:sz="4" w:space="0" w:color="auto"/>
              <w:right w:val="single" w:sz="4" w:space="0" w:color="auto"/>
            </w:tcBorders>
            <w:shd w:val="clear" w:color="auto" w:fill="auto"/>
            <w:vAlign w:val="center"/>
          </w:tcPr>
          <w:p w14:paraId="23D42E7A" w14:textId="77777777" w:rsidR="005352D6" w:rsidRPr="000B0F0A" w:rsidRDefault="005352D6" w:rsidP="00ED72C2">
            <w:pPr>
              <w:jc w:val="center"/>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E07D2EB" w14:textId="5D8D1EED" w:rsidR="005352D6" w:rsidRPr="000B0F0A" w:rsidRDefault="005352D6" w:rsidP="00ED72C2">
            <w:pPr>
              <w:jc w:val="center"/>
              <w:rPr>
                <w:rFonts w:asciiTheme="minorHAnsi" w:hAnsiTheme="minorHAnsi" w:cstheme="minorHAnsi"/>
                <w:sz w:val="16"/>
                <w:szCs w:val="16"/>
                <w:lang w:val="es-CO" w:eastAsia="es-CO"/>
              </w:rPr>
            </w:pPr>
            <w:r w:rsidRPr="008C2752">
              <w:rPr>
                <w:rFonts w:asciiTheme="minorHAnsi" w:hAnsiTheme="minorHAnsi" w:cstheme="minorHAnsi"/>
                <w:sz w:val="16"/>
                <w:szCs w:val="16"/>
                <w:lang w:val="es-CO" w:eastAsia="es-CO"/>
              </w:rPr>
              <w:t>20211100127903</w:t>
            </w:r>
          </w:p>
        </w:tc>
        <w:tc>
          <w:tcPr>
            <w:tcW w:w="993" w:type="dxa"/>
            <w:vMerge/>
            <w:tcBorders>
              <w:left w:val="nil"/>
              <w:bottom w:val="single" w:sz="4" w:space="0" w:color="auto"/>
              <w:right w:val="single" w:sz="4" w:space="0" w:color="auto"/>
            </w:tcBorders>
            <w:shd w:val="clear" w:color="auto" w:fill="FFD966" w:themeFill="accent4" w:themeFillTint="99"/>
            <w:vAlign w:val="center"/>
          </w:tcPr>
          <w:p w14:paraId="2D33379F" w14:textId="77777777" w:rsidR="005352D6" w:rsidRPr="000B0F0A" w:rsidRDefault="005352D6" w:rsidP="00EC5F4E">
            <w:pPr>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1C3F178F" w14:textId="77777777" w:rsidR="00EC5F4E" w:rsidRDefault="00EC5F4E" w:rsidP="00EC5F4E">
            <w:pPr>
              <w:rPr>
                <w:rFonts w:asciiTheme="minorHAnsi" w:hAnsiTheme="minorHAnsi" w:cstheme="minorHAnsi"/>
                <w:bCs/>
                <w:i/>
                <w:sz w:val="16"/>
                <w:szCs w:val="16"/>
                <w:lang w:val="es-CO" w:eastAsia="es-CO"/>
              </w:rPr>
            </w:pPr>
          </w:p>
          <w:p w14:paraId="1CD64E74" w14:textId="77777777" w:rsidR="00EC5F4E" w:rsidRDefault="00EC5F4E" w:rsidP="00EC5F4E">
            <w:pPr>
              <w:rPr>
                <w:rFonts w:asciiTheme="minorHAnsi" w:hAnsiTheme="minorHAnsi" w:cstheme="minorHAnsi"/>
                <w:bCs/>
                <w:i/>
                <w:sz w:val="16"/>
                <w:szCs w:val="16"/>
                <w:lang w:val="es-CO" w:eastAsia="es-CO"/>
              </w:rPr>
            </w:pPr>
          </w:p>
          <w:p w14:paraId="35CD72DB" w14:textId="77777777" w:rsidR="00EC5F4E" w:rsidRDefault="00EC5F4E" w:rsidP="00EC5F4E">
            <w:pPr>
              <w:rPr>
                <w:rFonts w:asciiTheme="minorHAnsi" w:hAnsiTheme="minorHAnsi" w:cstheme="minorHAnsi"/>
                <w:bCs/>
                <w:i/>
                <w:sz w:val="16"/>
                <w:szCs w:val="16"/>
                <w:lang w:val="es-CO" w:eastAsia="es-CO"/>
              </w:rPr>
            </w:pPr>
          </w:p>
          <w:p w14:paraId="3BE4B76E" w14:textId="60B25E03" w:rsidR="005352D6" w:rsidRPr="008C2752" w:rsidRDefault="005352D6" w:rsidP="00EC5F4E">
            <w:pPr>
              <w:rPr>
                <w:rFonts w:asciiTheme="minorHAnsi" w:hAnsiTheme="minorHAnsi" w:cstheme="minorHAnsi"/>
                <w:bCs/>
                <w:i/>
                <w:sz w:val="16"/>
                <w:szCs w:val="16"/>
                <w:lang w:val="es-CO" w:eastAsia="es-CO"/>
              </w:rPr>
            </w:pPr>
            <w:r w:rsidRPr="008C2752">
              <w:rPr>
                <w:rFonts w:asciiTheme="minorHAnsi" w:hAnsiTheme="minorHAnsi" w:cstheme="minorHAnsi"/>
                <w:bCs/>
                <w:i/>
                <w:sz w:val="16"/>
                <w:szCs w:val="16"/>
                <w:lang w:val="es-CO" w:eastAsia="es-CO"/>
              </w:rPr>
              <w:t xml:space="preserve">La </w:t>
            </w:r>
            <w:r>
              <w:rPr>
                <w:rFonts w:asciiTheme="minorHAnsi" w:hAnsiTheme="minorHAnsi" w:cstheme="minorHAnsi"/>
                <w:bCs/>
                <w:i/>
                <w:sz w:val="16"/>
                <w:szCs w:val="16"/>
                <w:lang w:val="es-CO" w:eastAsia="es-CO"/>
              </w:rPr>
              <w:t>OAJ informa que</w:t>
            </w:r>
            <w:r w:rsidRPr="008C2752">
              <w:rPr>
                <w:rFonts w:asciiTheme="minorHAnsi" w:hAnsiTheme="minorHAnsi" w:cstheme="minorHAnsi"/>
                <w:bCs/>
                <w:i/>
                <w:sz w:val="16"/>
                <w:szCs w:val="16"/>
                <w:lang w:val="es-CO" w:eastAsia="es-CO"/>
              </w:rPr>
              <w:t xml:space="preserve"> “Se remite carpeta en formato Zip con las evidencias </w:t>
            </w:r>
            <w:r>
              <w:rPr>
                <w:rFonts w:asciiTheme="minorHAnsi" w:hAnsiTheme="minorHAnsi" w:cstheme="minorHAnsi"/>
                <w:bCs/>
                <w:i/>
                <w:sz w:val="16"/>
                <w:szCs w:val="16"/>
                <w:lang w:val="es-CO" w:eastAsia="es-CO"/>
              </w:rPr>
              <w:t xml:space="preserve">correspondientes, Radicado IDRD </w:t>
            </w:r>
            <w:r w:rsidRPr="008C2752">
              <w:rPr>
                <w:rFonts w:asciiTheme="minorHAnsi" w:hAnsiTheme="minorHAnsi" w:cstheme="minorHAnsi"/>
                <w:bCs/>
                <w:i/>
                <w:sz w:val="16"/>
                <w:szCs w:val="16"/>
                <w:lang w:val="es-CO" w:eastAsia="es-CO"/>
              </w:rPr>
              <w:t xml:space="preserve">20211100013953 del 18 de enero de 2021, asunto "(...) estado </w:t>
            </w:r>
            <w:r>
              <w:rPr>
                <w:rFonts w:asciiTheme="minorHAnsi" w:hAnsiTheme="minorHAnsi" w:cstheme="minorHAnsi"/>
                <w:bCs/>
                <w:i/>
                <w:sz w:val="16"/>
                <w:szCs w:val="16"/>
                <w:lang w:val="es-CO" w:eastAsia="es-CO"/>
              </w:rPr>
              <w:t xml:space="preserve">de las deudas de difícil cobro, </w:t>
            </w:r>
            <w:r w:rsidRPr="008C2752">
              <w:rPr>
                <w:rFonts w:asciiTheme="minorHAnsi" w:hAnsiTheme="minorHAnsi" w:cstheme="minorHAnsi"/>
                <w:bCs/>
                <w:i/>
                <w:sz w:val="16"/>
                <w:szCs w:val="16"/>
                <w:lang w:val="es-CO" w:eastAsia="es-CO"/>
              </w:rPr>
              <w:t>en el cual se establezca el valor que se estima recuperar y plazo estimado.</w:t>
            </w:r>
          </w:p>
          <w:p w14:paraId="738598D7" w14:textId="77777777" w:rsidR="005352D6" w:rsidRDefault="005352D6" w:rsidP="00EC5F4E">
            <w:pPr>
              <w:rPr>
                <w:rFonts w:asciiTheme="minorHAnsi" w:hAnsiTheme="minorHAnsi" w:cstheme="minorHAnsi"/>
                <w:bCs/>
                <w:i/>
                <w:sz w:val="16"/>
                <w:szCs w:val="16"/>
                <w:lang w:val="es-CO" w:eastAsia="es-CO"/>
              </w:rPr>
            </w:pPr>
            <w:r w:rsidRPr="008C2752">
              <w:rPr>
                <w:rFonts w:asciiTheme="minorHAnsi" w:hAnsiTheme="minorHAnsi" w:cstheme="minorHAnsi"/>
                <w:bCs/>
                <w:i/>
                <w:sz w:val="16"/>
                <w:szCs w:val="16"/>
                <w:lang w:val="es-CO" w:eastAsia="es-CO"/>
              </w:rPr>
              <w:t>Correo del 29 de enero de 2021, en el cual se remite al Áre</w:t>
            </w:r>
            <w:r>
              <w:rPr>
                <w:rFonts w:asciiTheme="minorHAnsi" w:hAnsiTheme="minorHAnsi" w:cstheme="minorHAnsi"/>
                <w:bCs/>
                <w:i/>
                <w:sz w:val="16"/>
                <w:szCs w:val="16"/>
                <w:lang w:val="es-CO" w:eastAsia="es-CO"/>
              </w:rPr>
              <w:t xml:space="preserve">a de Contabilidad, los formatos </w:t>
            </w:r>
            <w:r w:rsidRPr="008C2752">
              <w:rPr>
                <w:rFonts w:asciiTheme="minorHAnsi" w:hAnsiTheme="minorHAnsi" w:cstheme="minorHAnsi"/>
                <w:bCs/>
                <w:i/>
                <w:sz w:val="16"/>
                <w:szCs w:val="16"/>
                <w:lang w:val="es-CO" w:eastAsia="es-CO"/>
              </w:rPr>
              <w:t>diligenciados para calificación deterioro deudas de difícil cobro</w:t>
            </w:r>
            <w:r w:rsidR="0070382C">
              <w:rPr>
                <w:rFonts w:asciiTheme="minorHAnsi" w:hAnsiTheme="minorHAnsi" w:cstheme="minorHAnsi"/>
                <w:bCs/>
                <w:i/>
                <w:sz w:val="16"/>
                <w:szCs w:val="16"/>
                <w:lang w:val="es-CO" w:eastAsia="es-CO"/>
              </w:rPr>
              <w:t xml:space="preserve"> y cargas Urbanísticas vigencia </w:t>
            </w:r>
            <w:r w:rsidRPr="008C2752">
              <w:rPr>
                <w:rFonts w:asciiTheme="minorHAnsi" w:hAnsiTheme="minorHAnsi" w:cstheme="minorHAnsi"/>
                <w:bCs/>
                <w:i/>
                <w:sz w:val="16"/>
                <w:szCs w:val="16"/>
                <w:lang w:val="es-CO" w:eastAsia="es-CO"/>
              </w:rPr>
              <w:t>2020.</w:t>
            </w:r>
            <w:r>
              <w:rPr>
                <w:rFonts w:asciiTheme="minorHAnsi" w:hAnsiTheme="minorHAnsi" w:cstheme="minorHAnsi"/>
                <w:bCs/>
                <w:i/>
                <w:sz w:val="16"/>
                <w:szCs w:val="16"/>
                <w:lang w:val="es-CO" w:eastAsia="es-CO"/>
              </w:rPr>
              <w:t>”</w:t>
            </w:r>
          </w:p>
          <w:p w14:paraId="10D73582" w14:textId="77777777" w:rsidR="00EC5F4E" w:rsidRDefault="00EC5F4E" w:rsidP="00EC5F4E">
            <w:pPr>
              <w:rPr>
                <w:rFonts w:asciiTheme="minorHAnsi" w:hAnsiTheme="minorHAnsi" w:cstheme="minorHAnsi"/>
                <w:bCs/>
                <w:i/>
                <w:sz w:val="16"/>
                <w:szCs w:val="16"/>
                <w:lang w:val="es-CO" w:eastAsia="es-CO"/>
              </w:rPr>
            </w:pPr>
          </w:p>
          <w:p w14:paraId="1CF23317" w14:textId="77777777" w:rsidR="00EC5F4E" w:rsidRDefault="00EC5F4E" w:rsidP="00EC5F4E">
            <w:pPr>
              <w:rPr>
                <w:rFonts w:asciiTheme="minorHAnsi" w:hAnsiTheme="minorHAnsi" w:cstheme="minorHAnsi"/>
                <w:bCs/>
                <w:i/>
                <w:sz w:val="16"/>
                <w:szCs w:val="16"/>
                <w:lang w:val="es-CO" w:eastAsia="es-CO"/>
              </w:rPr>
            </w:pPr>
          </w:p>
          <w:p w14:paraId="1F0EDF93" w14:textId="77777777" w:rsidR="00EC5F4E" w:rsidRDefault="00EC5F4E" w:rsidP="00EC5F4E">
            <w:pPr>
              <w:rPr>
                <w:rFonts w:asciiTheme="minorHAnsi" w:hAnsiTheme="minorHAnsi" w:cstheme="minorHAnsi"/>
                <w:bCs/>
                <w:i/>
                <w:sz w:val="16"/>
                <w:szCs w:val="16"/>
                <w:lang w:val="es-CO" w:eastAsia="es-CO"/>
              </w:rPr>
            </w:pPr>
          </w:p>
          <w:p w14:paraId="20E995B9" w14:textId="1BE443EF" w:rsidR="00EC5F4E" w:rsidRPr="0070382C" w:rsidRDefault="00EC5F4E" w:rsidP="00EC5F4E">
            <w:pPr>
              <w:rPr>
                <w:rFonts w:asciiTheme="minorHAnsi" w:hAnsiTheme="minorHAnsi" w:cstheme="minorHAnsi"/>
                <w:bCs/>
                <w:i/>
                <w:sz w:val="16"/>
                <w:szCs w:val="16"/>
                <w:lang w:val="es-CO" w:eastAsia="es-CO"/>
              </w:rPr>
            </w:pPr>
          </w:p>
        </w:tc>
        <w:tc>
          <w:tcPr>
            <w:tcW w:w="3969" w:type="dxa"/>
            <w:vMerge/>
            <w:tcBorders>
              <w:left w:val="nil"/>
              <w:bottom w:val="single" w:sz="4" w:space="0" w:color="auto"/>
              <w:right w:val="single" w:sz="4" w:space="0" w:color="auto"/>
            </w:tcBorders>
            <w:shd w:val="clear" w:color="auto" w:fill="auto"/>
            <w:noWrap/>
            <w:vAlign w:val="center"/>
          </w:tcPr>
          <w:p w14:paraId="3C218E35" w14:textId="77777777" w:rsidR="005352D6" w:rsidRPr="000B0F0A" w:rsidRDefault="005352D6" w:rsidP="00ED72C2">
            <w:pPr>
              <w:jc w:val="left"/>
              <w:rPr>
                <w:rFonts w:asciiTheme="minorHAnsi" w:hAnsiTheme="minorHAnsi" w:cstheme="minorHAnsi"/>
                <w:b/>
                <w:bCs/>
                <w:sz w:val="16"/>
                <w:szCs w:val="16"/>
                <w:lang w:val="es-CO" w:eastAsia="es-CO"/>
              </w:rPr>
            </w:pPr>
          </w:p>
        </w:tc>
      </w:tr>
      <w:tr w:rsidR="00ED72C2" w:rsidRPr="000B0F0A" w14:paraId="6380F4E9" w14:textId="77777777" w:rsidTr="002B0B25">
        <w:trPr>
          <w:trHeight w:val="8160"/>
        </w:trPr>
        <w:tc>
          <w:tcPr>
            <w:tcW w:w="317" w:type="dxa"/>
            <w:tcBorders>
              <w:top w:val="nil"/>
              <w:left w:val="single" w:sz="4" w:space="0" w:color="auto"/>
              <w:bottom w:val="single" w:sz="4" w:space="0" w:color="auto"/>
              <w:right w:val="single" w:sz="4" w:space="0" w:color="auto"/>
            </w:tcBorders>
            <w:shd w:val="clear" w:color="auto" w:fill="auto"/>
            <w:vAlign w:val="center"/>
            <w:hideMark/>
          </w:tcPr>
          <w:p w14:paraId="6C8CC21D"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lastRenderedPageBreak/>
              <w:t>6</w:t>
            </w:r>
          </w:p>
        </w:tc>
        <w:tc>
          <w:tcPr>
            <w:tcW w:w="954" w:type="dxa"/>
            <w:tcBorders>
              <w:top w:val="nil"/>
              <w:left w:val="nil"/>
              <w:bottom w:val="single" w:sz="4" w:space="0" w:color="auto"/>
              <w:right w:val="single" w:sz="4" w:space="0" w:color="auto"/>
            </w:tcBorders>
            <w:shd w:val="clear" w:color="auto" w:fill="auto"/>
            <w:vAlign w:val="center"/>
            <w:hideMark/>
          </w:tcPr>
          <w:p w14:paraId="6EFFCDF1"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Propiedad, Planta y Equipo</w:t>
            </w:r>
          </w:p>
        </w:tc>
        <w:tc>
          <w:tcPr>
            <w:tcW w:w="3969" w:type="dxa"/>
            <w:tcBorders>
              <w:top w:val="nil"/>
              <w:left w:val="nil"/>
              <w:bottom w:val="single" w:sz="4" w:space="0" w:color="auto"/>
              <w:right w:val="single" w:sz="4" w:space="0" w:color="auto"/>
            </w:tcBorders>
            <w:shd w:val="clear" w:color="auto" w:fill="auto"/>
            <w:vAlign w:val="center"/>
            <w:hideMark/>
          </w:tcPr>
          <w:p w14:paraId="668C76AF" w14:textId="2329E6DA" w:rsidR="00ED72C2" w:rsidRPr="000B0F0A" w:rsidRDefault="00ED72C2" w:rsidP="00ED72C2">
            <w:pPr>
              <w:suppressAutoHyphens w:val="0"/>
              <w:autoSpaceDN/>
              <w:spacing w:after="240"/>
              <w:textAlignment w:val="auto"/>
              <w:rPr>
                <w:rFonts w:asciiTheme="minorHAnsi" w:hAnsiTheme="minorHAnsi" w:cstheme="minorHAnsi"/>
                <w:sz w:val="16"/>
                <w:szCs w:val="16"/>
                <w:lang w:val="es-CO" w:eastAsia="es-CO"/>
              </w:rPr>
            </w:pPr>
            <w:r w:rsidRPr="00187F9D">
              <w:rPr>
                <w:rFonts w:asciiTheme="minorHAnsi" w:hAnsiTheme="minorHAnsi" w:cstheme="minorHAnsi"/>
                <w:b/>
                <w:sz w:val="16"/>
                <w:szCs w:val="16"/>
                <w:lang w:val="es-CO" w:eastAsia="es-CO"/>
              </w:rPr>
              <w:t>1</w:t>
            </w:r>
            <w:r w:rsidRPr="000B0F0A">
              <w:rPr>
                <w:rFonts w:asciiTheme="minorHAnsi" w:hAnsiTheme="minorHAnsi" w:cstheme="minorHAnsi"/>
                <w:sz w:val="16"/>
                <w:szCs w:val="16"/>
                <w:lang w:val="es-CO" w:eastAsia="es-CO"/>
              </w:rPr>
              <w:t xml:space="preserve">. Remitir mensualmente al área de Contabilidad el formato de conciliación, de los saldos del inventario del almacén de los bienes muebles </w:t>
            </w:r>
            <w:r w:rsidR="00187F9D" w:rsidRPr="000B0F0A">
              <w:rPr>
                <w:rFonts w:asciiTheme="minorHAnsi" w:hAnsiTheme="minorHAnsi" w:cstheme="minorHAnsi"/>
                <w:sz w:val="16"/>
                <w:szCs w:val="16"/>
                <w:lang w:val="es-CO" w:eastAsia="es-CO"/>
              </w:rPr>
              <w:t>con los</w:t>
            </w:r>
            <w:r w:rsidRPr="000B0F0A">
              <w:rPr>
                <w:rFonts w:asciiTheme="minorHAnsi" w:hAnsiTheme="minorHAnsi" w:cstheme="minorHAnsi"/>
                <w:sz w:val="16"/>
                <w:szCs w:val="16"/>
                <w:lang w:val="es-CO" w:eastAsia="es-CO"/>
              </w:rPr>
              <w:t xml:space="preserve"> s</w:t>
            </w:r>
            <w:r w:rsidR="00187F9D">
              <w:rPr>
                <w:rFonts w:asciiTheme="minorHAnsi" w:hAnsiTheme="minorHAnsi" w:cstheme="minorHAnsi"/>
                <w:sz w:val="16"/>
                <w:szCs w:val="16"/>
                <w:lang w:val="es-CO" w:eastAsia="es-CO"/>
              </w:rPr>
              <w:t>iguientes soportes</w:t>
            </w:r>
            <w:r w:rsidR="00187F9D" w:rsidRPr="00187F9D">
              <w:rPr>
                <w:rFonts w:asciiTheme="minorHAnsi" w:hAnsiTheme="minorHAnsi" w:cstheme="minorHAnsi"/>
                <w:b/>
                <w:sz w:val="16"/>
                <w:szCs w:val="16"/>
                <w:lang w:val="es-CO" w:eastAsia="es-CO"/>
              </w:rPr>
              <w:t xml:space="preserve">: </w:t>
            </w:r>
            <w:r w:rsidRPr="00187F9D">
              <w:rPr>
                <w:rFonts w:asciiTheme="minorHAnsi" w:hAnsiTheme="minorHAnsi" w:cstheme="minorHAnsi"/>
                <w:b/>
                <w:sz w:val="16"/>
                <w:szCs w:val="16"/>
                <w:lang w:val="es-CO" w:eastAsia="es-CO"/>
              </w:rPr>
              <w:t>a)</w:t>
            </w:r>
            <w:r w:rsidRPr="000B0F0A">
              <w:rPr>
                <w:rFonts w:asciiTheme="minorHAnsi" w:hAnsiTheme="minorHAnsi" w:cstheme="minorHAnsi"/>
                <w:sz w:val="16"/>
                <w:szCs w:val="16"/>
                <w:lang w:val="es-CO" w:eastAsia="es-CO"/>
              </w:rPr>
              <w:t xml:space="preserve"> Informe Inventario de bienes en </w:t>
            </w:r>
            <w:r w:rsidR="00187F9D" w:rsidRPr="000B0F0A">
              <w:rPr>
                <w:rFonts w:asciiTheme="minorHAnsi" w:hAnsiTheme="minorHAnsi" w:cstheme="minorHAnsi"/>
                <w:sz w:val="16"/>
                <w:szCs w:val="16"/>
                <w:lang w:val="es-CO" w:eastAsia="es-CO"/>
              </w:rPr>
              <w:t>servicio por</w:t>
            </w:r>
            <w:r w:rsidRPr="000B0F0A">
              <w:rPr>
                <w:rFonts w:asciiTheme="minorHAnsi" w:hAnsiTheme="minorHAnsi" w:cstheme="minorHAnsi"/>
                <w:sz w:val="16"/>
                <w:szCs w:val="16"/>
                <w:lang w:val="es-CO" w:eastAsia="es-CO"/>
              </w:rPr>
              <w:t xml:space="preserve"> dependencia donde se evidencie el valor en libros, la depreciación acumulada, las pérdidas por deterioro acumuladas, especificando la ubicación</w:t>
            </w:r>
            <w:r w:rsidR="00187F9D">
              <w:rPr>
                <w:rFonts w:asciiTheme="minorHAnsi" w:hAnsiTheme="minorHAnsi" w:cstheme="minorHAnsi"/>
                <w:sz w:val="16"/>
                <w:szCs w:val="16"/>
                <w:lang w:val="es-CO" w:eastAsia="es-CO"/>
              </w:rPr>
              <w:t xml:space="preserve"> (nuevo, usados o en servicio). </w:t>
            </w:r>
            <w:r w:rsidRPr="00187F9D">
              <w:rPr>
                <w:rFonts w:asciiTheme="minorHAnsi" w:hAnsiTheme="minorHAnsi" w:cstheme="minorHAnsi"/>
                <w:b/>
                <w:sz w:val="16"/>
                <w:szCs w:val="16"/>
                <w:lang w:val="es-CO" w:eastAsia="es-CO"/>
              </w:rPr>
              <w:t>b)</w:t>
            </w:r>
            <w:r w:rsidRPr="000B0F0A">
              <w:rPr>
                <w:rFonts w:asciiTheme="minorHAnsi" w:hAnsiTheme="minorHAnsi" w:cstheme="minorHAnsi"/>
                <w:sz w:val="16"/>
                <w:szCs w:val="16"/>
                <w:lang w:val="es-CO" w:eastAsia="es-CO"/>
              </w:rPr>
              <w:t xml:space="preserve"> Detalle de los bienes muebles dados de baja mediante acto admi</w:t>
            </w:r>
            <w:r w:rsidR="00187F9D">
              <w:rPr>
                <w:rFonts w:asciiTheme="minorHAnsi" w:hAnsiTheme="minorHAnsi" w:cstheme="minorHAnsi"/>
                <w:sz w:val="16"/>
                <w:szCs w:val="16"/>
                <w:lang w:val="es-CO" w:eastAsia="es-CO"/>
              </w:rPr>
              <w:t xml:space="preserve">nistrativo, cuando esto ocurra. </w:t>
            </w:r>
            <w:r w:rsidRPr="00187F9D">
              <w:rPr>
                <w:rFonts w:asciiTheme="minorHAnsi" w:hAnsiTheme="minorHAnsi" w:cstheme="minorHAnsi"/>
                <w:b/>
                <w:sz w:val="16"/>
                <w:szCs w:val="16"/>
                <w:lang w:val="es-CO" w:eastAsia="es-CO"/>
              </w:rPr>
              <w:t>c)</w:t>
            </w:r>
            <w:r w:rsidRPr="000B0F0A">
              <w:rPr>
                <w:rFonts w:asciiTheme="minorHAnsi" w:hAnsiTheme="minorHAnsi" w:cstheme="minorHAnsi"/>
                <w:sz w:val="16"/>
                <w:szCs w:val="16"/>
                <w:lang w:val="es-CO" w:eastAsia="es-CO"/>
              </w:rPr>
              <w:t xml:space="preserve"> Informe detallado de las propiedades, planta y equipo, adquiridas en una transacción sin contraprestación, indicando monto</w:t>
            </w:r>
            <w:r w:rsidR="00187F9D">
              <w:rPr>
                <w:rFonts w:asciiTheme="minorHAnsi" w:hAnsiTheme="minorHAnsi" w:cstheme="minorHAnsi"/>
                <w:sz w:val="16"/>
                <w:szCs w:val="16"/>
                <w:lang w:val="es-CO" w:eastAsia="es-CO"/>
              </w:rPr>
              <w:t xml:space="preserve"> y tercero, cuando esto ocurra</w:t>
            </w:r>
            <w:r w:rsidR="00187F9D" w:rsidRPr="00187F9D">
              <w:rPr>
                <w:rFonts w:asciiTheme="minorHAnsi" w:hAnsiTheme="minorHAnsi" w:cstheme="minorHAnsi"/>
                <w:b/>
                <w:sz w:val="16"/>
                <w:szCs w:val="16"/>
                <w:lang w:val="es-CO" w:eastAsia="es-CO"/>
              </w:rPr>
              <w:t xml:space="preserve">. </w:t>
            </w:r>
            <w:r w:rsidRPr="00187F9D">
              <w:rPr>
                <w:rFonts w:asciiTheme="minorHAnsi" w:hAnsiTheme="minorHAnsi" w:cstheme="minorHAnsi"/>
                <w:b/>
                <w:sz w:val="16"/>
                <w:szCs w:val="16"/>
                <w:lang w:val="es-CO" w:eastAsia="es-CO"/>
              </w:rPr>
              <w:t>d)</w:t>
            </w:r>
            <w:r w:rsidRPr="000B0F0A">
              <w:rPr>
                <w:rFonts w:asciiTheme="minorHAnsi" w:hAnsiTheme="minorHAnsi" w:cstheme="minorHAnsi"/>
                <w:sz w:val="16"/>
                <w:szCs w:val="16"/>
                <w:lang w:val="es-CO" w:eastAsia="es-CO"/>
              </w:rPr>
              <w:t xml:space="preserve">  Informe de los contratos de comodato de los bienes entregados y recibidos, detallando objeto, tercero, valor, vigencia y descripción del bien, cuando esto ocurra.</w:t>
            </w:r>
            <w:r w:rsidRPr="000B0F0A">
              <w:rPr>
                <w:rFonts w:asciiTheme="minorHAnsi" w:hAnsiTheme="minorHAnsi" w:cstheme="minorHAnsi"/>
                <w:sz w:val="16"/>
                <w:szCs w:val="16"/>
                <w:lang w:val="es-CO" w:eastAsia="es-CO"/>
              </w:rPr>
              <w:br/>
            </w:r>
            <w:r w:rsidRPr="00187F9D">
              <w:rPr>
                <w:rFonts w:asciiTheme="minorHAnsi" w:hAnsiTheme="minorHAnsi" w:cstheme="minorHAnsi"/>
                <w:b/>
                <w:sz w:val="16"/>
                <w:szCs w:val="16"/>
                <w:lang w:val="es-CO" w:eastAsia="es-CO"/>
              </w:rPr>
              <w:t>2.</w:t>
            </w:r>
            <w:r w:rsidRPr="000B0F0A">
              <w:rPr>
                <w:rFonts w:asciiTheme="minorHAnsi" w:hAnsiTheme="minorHAnsi" w:cstheme="minorHAnsi"/>
                <w:sz w:val="16"/>
                <w:szCs w:val="16"/>
                <w:lang w:val="es-CO" w:eastAsia="es-CO"/>
              </w:rPr>
              <w:t xml:space="preserve"> El área de contabilidad realiza la conciliación mensual, con el reporte de saldos de la cuenta </w:t>
            </w:r>
            <w:r w:rsidR="00187F9D" w:rsidRPr="000B0F0A">
              <w:rPr>
                <w:rFonts w:asciiTheme="minorHAnsi" w:hAnsiTheme="minorHAnsi" w:cstheme="minorHAnsi"/>
                <w:sz w:val="16"/>
                <w:szCs w:val="16"/>
                <w:lang w:val="es-CO" w:eastAsia="es-CO"/>
              </w:rPr>
              <w:t>16, y los</w:t>
            </w:r>
            <w:r w:rsidRPr="000B0F0A">
              <w:rPr>
                <w:rFonts w:asciiTheme="minorHAnsi" w:hAnsiTheme="minorHAnsi" w:cstheme="minorHAnsi"/>
                <w:sz w:val="16"/>
                <w:szCs w:val="16"/>
                <w:lang w:val="es-CO" w:eastAsia="es-CO"/>
              </w:rPr>
              <w:t xml:space="preserve"> ajustes correspondientes en caso de ser necesario, previa coordinación con l</w:t>
            </w:r>
            <w:r w:rsidR="00187F9D">
              <w:rPr>
                <w:rFonts w:asciiTheme="minorHAnsi" w:hAnsiTheme="minorHAnsi" w:cstheme="minorHAnsi"/>
                <w:sz w:val="16"/>
                <w:szCs w:val="16"/>
                <w:lang w:val="es-CO" w:eastAsia="es-CO"/>
              </w:rPr>
              <w:t xml:space="preserve">a persona encargada en Almacén. </w:t>
            </w:r>
            <w:r w:rsidRPr="00187F9D">
              <w:rPr>
                <w:rFonts w:asciiTheme="minorHAnsi" w:hAnsiTheme="minorHAnsi" w:cstheme="minorHAnsi"/>
                <w:b/>
                <w:sz w:val="16"/>
                <w:szCs w:val="16"/>
                <w:lang w:val="es-CO" w:eastAsia="es-CO"/>
              </w:rPr>
              <w:t>3.</w:t>
            </w:r>
            <w:r w:rsidRPr="000B0F0A">
              <w:rPr>
                <w:rFonts w:asciiTheme="minorHAnsi" w:hAnsiTheme="minorHAnsi" w:cstheme="minorHAnsi"/>
                <w:sz w:val="16"/>
                <w:szCs w:val="16"/>
                <w:lang w:val="es-CO" w:eastAsia="es-CO"/>
              </w:rPr>
              <w:t xml:space="preserve"> El área de contabilidad envía copia de la conciliación al Almacén general para su revisión final y firma en caso de aprobación.</w:t>
            </w:r>
            <w:r w:rsidRPr="000B0F0A">
              <w:rPr>
                <w:rFonts w:asciiTheme="minorHAnsi" w:hAnsiTheme="minorHAnsi" w:cstheme="minorHAnsi"/>
                <w:sz w:val="16"/>
                <w:szCs w:val="16"/>
                <w:lang w:val="es-CO" w:eastAsia="es-CO"/>
              </w:rPr>
              <w:br/>
            </w:r>
            <w:r w:rsidRPr="00187F9D">
              <w:rPr>
                <w:rFonts w:asciiTheme="minorHAnsi" w:hAnsiTheme="minorHAnsi" w:cstheme="minorHAnsi"/>
                <w:b/>
                <w:sz w:val="16"/>
                <w:szCs w:val="16"/>
                <w:lang w:val="es-CO" w:eastAsia="es-CO"/>
              </w:rPr>
              <w:t>4.</w:t>
            </w:r>
            <w:r w:rsidRPr="000B0F0A">
              <w:rPr>
                <w:rFonts w:asciiTheme="minorHAnsi" w:hAnsiTheme="minorHAnsi" w:cstheme="minorHAnsi"/>
                <w:sz w:val="16"/>
                <w:szCs w:val="16"/>
                <w:lang w:val="es-CO" w:eastAsia="es-CO"/>
              </w:rPr>
              <w:t xml:space="preserve"> El Almacén enviará copia de la conciliación a Contabilidad, con las correspondie</w:t>
            </w:r>
            <w:r w:rsidR="00187F9D">
              <w:rPr>
                <w:rFonts w:asciiTheme="minorHAnsi" w:hAnsiTheme="minorHAnsi" w:cstheme="minorHAnsi"/>
                <w:sz w:val="16"/>
                <w:szCs w:val="16"/>
                <w:lang w:val="es-CO" w:eastAsia="es-CO"/>
              </w:rPr>
              <w:t>ntes firmas para ser archivada.</w:t>
            </w:r>
            <w:r w:rsidRPr="000B0F0A">
              <w:rPr>
                <w:rFonts w:asciiTheme="minorHAnsi" w:hAnsiTheme="minorHAnsi" w:cstheme="minorHAnsi"/>
                <w:sz w:val="16"/>
                <w:szCs w:val="16"/>
                <w:lang w:val="es-CO" w:eastAsia="es-CO"/>
              </w:rPr>
              <w:br/>
            </w:r>
            <w:r w:rsidRPr="000B0F0A">
              <w:rPr>
                <w:rFonts w:asciiTheme="minorHAnsi" w:hAnsiTheme="minorHAnsi" w:cstheme="minorHAnsi"/>
                <w:b/>
                <w:bCs/>
                <w:sz w:val="16"/>
                <w:szCs w:val="16"/>
                <w:lang w:val="es-CO" w:eastAsia="es-CO"/>
              </w:rPr>
              <w:t xml:space="preserve">Informe para revelaciones: </w:t>
            </w:r>
            <w:r w:rsidRPr="000B0F0A">
              <w:rPr>
                <w:rFonts w:asciiTheme="minorHAnsi" w:hAnsiTheme="minorHAnsi" w:cstheme="minorHAnsi"/>
                <w:sz w:val="16"/>
                <w:szCs w:val="16"/>
                <w:lang w:val="es-CO" w:eastAsia="es-CO"/>
              </w:rPr>
              <w:br/>
              <w:t>- Informe del valor en libros y la depreciación acumulada, incluyendo las pérdidas por deterioro del valor acumuladas, al principio y final del periodo contable.</w:t>
            </w:r>
            <w:r w:rsidRPr="000B0F0A">
              <w:rPr>
                <w:rFonts w:asciiTheme="minorHAnsi" w:hAnsiTheme="minorHAnsi" w:cstheme="minorHAnsi"/>
                <w:sz w:val="16"/>
                <w:szCs w:val="16"/>
                <w:lang w:val="es-CO" w:eastAsia="es-CO"/>
              </w:rPr>
              <w:br/>
              <w:t xml:space="preserve">- Una conciliación entre los valores en libros al principio y al final del periodo contable, que muestre por separado lo siguiente: adquisiciones, adiciones de vida útil, disposiciones, bajas, reclasificaciones a otro tipo de activos, pérdidas por deterioro del valor reconocidas o revertidas si esto ocurre y depreciación. </w:t>
            </w:r>
            <w:r w:rsidRPr="000B0F0A">
              <w:rPr>
                <w:rFonts w:asciiTheme="minorHAnsi" w:hAnsiTheme="minorHAnsi" w:cstheme="minorHAnsi"/>
                <w:sz w:val="16"/>
                <w:szCs w:val="16"/>
                <w:lang w:val="es-CO" w:eastAsia="es-CO"/>
              </w:rPr>
              <w:br/>
              <w:t xml:space="preserve">- El efecto en los resultados producto de la baja en cuentas de un elemento </w:t>
            </w:r>
            <w:r w:rsidR="00187F9D">
              <w:rPr>
                <w:rFonts w:asciiTheme="minorHAnsi" w:hAnsiTheme="minorHAnsi" w:cstheme="minorHAnsi"/>
                <w:sz w:val="16"/>
                <w:szCs w:val="16"/>
                <w:lang w:val="es-CO" w:eastAsia="es-CO"/>
              </w:rPr>
              <w:t xml:space="preserve">de propiedades, planta y equipo </w:t>
            </w:r>
            <w:r w:rsidRPr="000B0F0A">
              <w:rPr>
                <w:rFonts w:asciiTheme="minorHAnsi" w:hAnsiTheme="minorHAnsi" w:cstheme="minorHAnsi"/>
                <w:sz w:val="16"/>
                <w:szCs w:val="16"/>
                <w:lang w:val="es-CO" w:eastAsia="es-CO"/>
              </w:rPr>
              <w:t>- El cambio en la estimación de la vida útil, la cual debe ser revisada por lo menos una vez al año al cierre de la vigencia.</w:t>
            </w:r>
            <w:r w:rsidRPr="000B0F0A">
              <w:rPr>
                <w:rFonts w:asciiTheme="minorHAnsi" w:hAnsiTheme="minorHAnsi" w:cstheme="minorHAnsi"/>
                <w:sz w:val="16"/>
                <w:szCs w:val="16"/>
                <w:lang w:val="es-CO" w:eastAsia="es-CO"/>
              </w:rPr>
              <w:br/>
              <w:t>- La información de bienes que se hayan reconocido como propiedades, planta y equipo o que se hayan retirado, por la tenencia del control, independientemente de la titularidad o derecho de dominio (esta información está relacionada con: la entidad de la cual se reciben o a la cual se entregan, el monto, la descripción, la cantidad y la duración del contrato, cuando a ello haya lugar), si esto ocurre.</w:t>
            </w:r>
            <w:r w:rsidRPr="000B0F0A">
              <w:rPr>
                <w:rFonts w:asciiTheme="minorHAnsi" w:hAnsiTheme="minorHAnsi" w:cstheme="minorHAnsi"/>
                <w:sz w:val="16"/>
                <w:szCs w:val="16"/>
                <w:lang w:val="es-CO" w:eastAsia="es-CO"/>
              </w:rPr>
              <w:br/>
              <w:t xml:space="preserve"> -El valor en libros de los elementos de propiedades, planta y equipo, que estén temporalmente fuera de servicio, si esto ocurre.</w:t>
            </w:r>
            <w:r w:rsidRPr="000B0F0A">
              <w:rPr>
                <w:rFonts w:asciiTheme="minorHAnsi" w:hAnsiTheme="minorHAnsi" w:cstheme="minorHAnsi"/>
                <w:sz w:val="16"/>
                <w:szCs w:val="16"/>
                <w:lang w:val="es-CO" w:eastAsia="es-CO"/>
              </w:rPr>
              <w:br/>
              <w:t>- Las propiedades, planta y equipo, adquiridas en una transacción sin contrapre</w:t>
            </w:r>
            <w:r>
              <w:rPr>
                <w:rFonts w:asciiTheme="minorHAnsi" w:hAnsiTheme="minorHAnsi" w:cstheme="minorHAnsi"/>
                <w:sz w:val="16"/>
                <w:szCs w:val="16"/>
                <w:lang w:val="es-CO" w:eastAsia="es-CO"/>
              </w:rPr>
              <w:t>stación, si esto ocurre.</w:t>
            </w:r>
          </w:p>
        </w:tc>
        <w:tc>
          <w:tcPr>
            <w:tcW w:w="3544" w:type="dxa"/>
            <w:tcBorders>
              <w:top w:val="nil"/>
              <w:left w:val="nil"/>
              <w:bottom w:val="single" w:sz="4" w:space="0" w:color="auto"/>
              <w:right w:val="single" w:sz="4" w:space="0" w:color="auto"/>
            </w:tcBorders>
            <w:shd w:val="clear" w:color="auto" w:fill="auto"/>
            <w:vAlign w:val="center"/>
            <w:hideMark/>
          </w:tcPr>
          <w:p w14:paraId="35B1F336" w14:textId="77777777" w:rsidR="00ED72C2" w:rsidRPr="000B0F0A" w:rsidRDefault="00ED72C2" w:rsidP="00187F9D">
            <w:pPr>
              <w:suppressAutoHyphens w:val="0"/>
              <w:autoSpaceDN/>
              <w:spacing w:after="240"/>
              <w:textAlignment w:val="auto"/>
              <w:rPr>
                <w:rFonts w:asciiTheme="minorHAnsi" w:hAnsiTheme="minorHAnsi" w:cstheme="minorHAnsi"/>
                <w:color w:val="000000"/>
                <w:sz w:val="16"/>
                <w:szCs w:val="16"/>
                <w:lang w:val="es-CO" w:eastAsia="es-CO"/>
              </w:rPr>
            </w:pPr>
            <w:bookmarkStart w:id="15" w:name="RANGE!E13"/>
            <w:r w:rsidRPr="000B0F0A">
              <w:rPr>
                <w:rFonts w:asciiTheme="minorHAnsi" w:hAnsiTheme="minorHAnsi" w:cstheme="minorHAnsi"/>
                <w:b/>
                <w:bCs/>
                <w:color w:val="000000"/>
                <w:sz w:val="16"/>
                <w:szCs w:val="16"/>
                <w:lang w:val="es-CO" w:eastAsia="es-CO"/>
              </w:rPr>
              <w:t>12.5.2 Propiedad, Planta y Equipo - Reconocimiento</w:t>
            </w:r>
            <w:r w:rsidRPr="000B0F0A">
              <w:rPr>
                <w:rFonts w:asciiTheme="minorHAnsi" w:hAnsiTheme="minorHAnsi" w:cstheme="minorHAnsi"/>
                <w:color w:val="000000"/>
                <w:sz w:val="16"/>
                <w:szCs w:val="16"/>
                <w:lang w:val="es-CO" w:eastAsia="es-CO"/>
              </w:rPr>
              <w:t>: "</w:t>
            </w:r>
            <w:r w:rsidRPr="000B0F0A">
              <w:rPr>
                <w:rFonts w:asciiTheme="minorHAnsi" w:hAnsiTheme="minorHAnsi" w:cstheme="minorHAnsi"/>
                <w:i/>
                <w:iCs/>
                <w:color w:val="000000"/>
                <w:sz w:val="16"/>
                <w:szCs w:val="16"/>
                <w:lang w:val="es-CO" w:eastAsia="es-CO"/>
              </w:rPr>
              <w:t>Se deberá tener en cuenta la intención con la cual el IDRD adquiere los bienes tangibles, es decir, si el IDRD los utilizará para propósitos administrativos, para producir bienes o prestar servicios, si generarán ingresos producto de su arrendamiento, que los mismos no estén disponibles para la venta y se prevé usarlos durante más de un periodo contable."</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b/>
                <w:bCs/>
                <w:i/>
                <w:iCs/>
                <w:color w:val="000000"/>
                <w:sz w:val="16"/>
                <w:szCs w:val="16"/>
                <w:lang w:val="es-CO" w:eastAsia="es-CO"/>
              </w:rPr>
              <w:br/>
            </w:r>
            <w:r w:rsidRPr="000B0F0A">
              <w:rPr>
                <w:rFonts w:asciiTheme="minorHAnsi" w:hAnsiTheme="minorHAnsi" w:cstheme="minorHAnsi"/>
                <w:b/>
                <w:bCs/>
                <w:color w:val="000000"/>
                <w:sz w:val="16"/>
                <w:szCs w:val="16"/>
                <w:lang w:val="es-CO" w:eastAsia="es-CO"/>
              </w:rPr>
              <w:t>12.5.4.</w:t>
            </w:r>
            <w:r w:rsidRPr="000B0F0A">
              <w:rPr>
                <w:rFonts w:asciiTheme="minorHAnsi" w:hAnsiTheme="minorHAnsi" w:cstheme="minorHAnsi"/>
                <w:color w:val="000000"/>
                <w:sz w:val="16"/>
                <w:szCs w:val="16"/>
                <w:lang w:val="es-CO" w:eastAsia="es-CO"/>
              </w:rPr>
              <w:t xml:space="preserve"> </w:t>
            </w:r>
            <w:r w:rsidRPr="000B0F0A">
              <w:rPr>
                <w:rFonts w:asciiTheme="minorHAnsi" w:hAnsiTheme="minorHAnsi" w:cstheme="minorHAnsi"/>
                <w:b/>
                <w:bCs/>
                <w:color w:val="000000"/>
                <w:sz w:val="16"/>
                <w:szCs w:val="16"/>
                <w:lang w:val="es-CO" w:eastAsia="es-CO"/>
              </w:rPr>
              <w:t>Medición Posterior</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t>Después del reconocimiento y medición inicial, el IDRD realizará la medición posterior de sus propiedades, planta y equipo, al costo menos la depreciación acumulada menos el deterioro acumulado</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b/>
                <w:bCs/>
                <w:i/>
                <w:iCs/>
                <w:color w:val="000000"/>
                <w:sz w:val="16"/>
                <w:szCs w:val="16"/>
                <w:lang w:val="es-CO" w:eastAsia="es-CO"/>
              </w:rPr>
              <w:t>12.5.8 Deterioro</w:t>
            </w:r>
            <w:r w:rsidRPr="000B0F0A">
              <w:rPr>
                <w:rFonts w:asciiTheme="minorHAnsi" w:hAnsiTheme="minorHAnsi" w:cstheme="minorHAnsi"/>
                <w:i/>
                <w:iCs/>
                <w:color w:val="000000"/>
                <w:sz w:val="16"/>
                <w:szCs w:val="16"/>
                <w:lang w:val="es-CO" w:eastAsia="es-CO"/>
              </w:rPr>
              <w:br/>
              <w:t xml:space="preserve">Cada año, al cierre del periodo que se informa, el IDRD, evalúa los indicadores de deterioro y en caso de presentarse una evidencia significativa del mismo se aplica lo establecido en la Norma de Deterioro del Valor de los Activos No Generadores de Efectivo. </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b/>
                <w:bCs/>
                <w:i/>
                <w:iCs/>
                <w:color w:val="000000"/>
                <w:sz w:val="16"/>
                <w:szCs w:val="16"/>
                <w:lang w:val="es-CO" w:eastAsia="es-CO"/>
              </w:rPr>
              <w:t>12.8.2.1. Materialidad</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t>La evaluación de los indicios de deterioro procederá sobre los activos bienes muebles, clasificados como Propiedades, Planta y Equipo y activos intangibles, cuyo valor sea igual o superior a treinta y cinco (35) SMMLV</w:t>
            </w:r>
            <w:r w:rsidRPr="000B0F0A">
              <w:rPr>
                <w:rFonts w:asciiTheme="minorHAnsi" w:hAnsiTheme="minorHAnsi" w:cstheme="minorHAnsi"/>
                <w:i/>
                <w:iCs/>
                <w:color w:val="000000"/>
                <w:sz w:val="16"/>
                <w:szCs w:val="16"/>
                <w:lang w:val="es-CO" w:eastAsia="es-CO"/>
              </w:rPr>
              <w:br/>
            </w:r>
            <w:bookmarkEnd w:id="15"/>
          </w:p>
        </w:tc>
        <w:tc>
          <w:tcPr>
            <w:tcW w:w="1276" w:type="dxa"/>
            <w:tcBorders>
              <w:top w:val="nil"/>
              <w:left w:val="nil"/>
              <w:bottom w:val="single" w:sz="4" w:space="0" w:color="auto"/>
              <w:right w:val="single" w:sz="4" w:space="0" w:color="auto"/>
            </w:tcBorders>
            <w:shd w:val="clear" w:color="auto" w:fill="auto"/>
            <w:vAlign w:val="center"/>
            <w:hideMark/>
          </w:tcPr>
          <w:p w14:paraId="06CC3E14" w14:textId="6669F139"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Almacén</w:t>
            </w:r>
          </w:p>
        </w:tc>
        <w:tc>
          <w:tcPr>
            <w:tcW w:w="1984" w:type="dxa"/>
            <w:tcBorders>
              <w:top w:val="nil"/>
              <w:left w:val="nil"/>
              <w:bottom w:val="single" w:sz="4" w:space="0" w:color="auto"/>
              <w:right w:val="single" w:sz="4" w:space="0" w:color="auto"/>
            </w:tcBorders>
            <w:shd w:val="clear" w:color="auto" w:fill="auto"/>
            <w:vAlign w:val="center"/>
            <w:hideMark/>
          </w:tcPr>
          <w:p w14:paraId="64764879" w14:textId="5ED543CB" w:rsidR="00ED72C2" w:rsidRPr="000B0F0A" w:rsidRDefault="007B3F75"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br/>
              <w:t>Mensualmente</w:t>
            </w:r>
            <w:r>
              <w:rPr>
                <w:rFonts w:asciiTheme="minorHAnsi" w:hAnsiTheme="minorHAnsi" w:cstheme="minorHAnsi"/>
                <w:sz w:val="16"/>
                <w:szCs w:val="16"/>
                <w:lang w:val="es-CO" w:eastAsia="es-CO"/>
              </w:rPr>
              <w:br/>
            </w:r>
            <w:r w:rsidR="00ED72C2" w:rsidRPr="000B0F0A">
              <w:rPr>
                <w:rFonts w:asciiTheme="minorHAnsi" w:hAnsiTheme="minorHAnsi" w:cstheme="minorHAnsi"/>
                <w:sz w:val="16"/>
                <w:szCs w:val="16"/>
                <w:lang w:val="es-CO" w:eastAsia="es-CO"/>
              </w:rPr>
              <w:br/>
              <w:t>Anualmente</w:t>
            </w:r>
          </w:p>
        </w:tc>
        <w:tc>
          <w:tcPr>
            <w:tcW w:w="1559" w:type="dxa"/>
            <w:tcBorders>
              <w:top w:val="nil"/>
              <w:left w:val="nil"/>
              <w:bottom w:val="single" w:sz="4" w:space="0" w:color="auto"/>
              <w:right w:val="single" w:sz="4" w:space="0" w:color="auto"/>
            </w:tcBorders>
            <w:shd w:val="clear" w:color="auto" w:fill="auto"/>
            <w:vAlign w:val="center"/>
            <w:hideMark/>
          </w:tcPr>
          <w:p w14:paraId="28C7478A" w14:textId="690AD1F2" w:rsidR="00ED72C2" w:rsidRPr="000B0F0A" w:rsidRDefault="007B3F75" w:rsidP="00ED72C2">
            <w:pPr>
              <w:suppressAutoHyphens w:val="0"/>
              <w:autoSpaceDN/>
              <w:jc w:val="center"/>
              <w:textAlignment w:val="auto"/>
              <w:rPr>
                <w:rFonts w:asciiTheme="minorHAnsi" w:hAnsiTheme="minorHAnsi" w:cstheme="minorHAnsi"/>
                <w:sz w:val="16"/>
                <w:szCs w:val="16"/>
                <w:lang w:val="es-CO" w:eastAsia="es-CO"/>
              </w:rPr>
            </w:pPr>
            <w:r w:rsidRPr="007B3F75">
              <w:rPr>
                <w:rFonts w:asciiTheme="minorHAnsi" w:hAnsiTheme="minorHAnsi" w:cstheme="minorHAnsi"/>
                <w:sz w:val="16"/>
                <w:szCs w:val="16"/>
                <w:lang w:val="es-CO" w:eastAsia="es-CO"/>
              </w:rPr>
              <w:t>20213000124263</w:t>
            </w:r>
          </w:p>
        </w:tc>
        <w:tc>
          <w:tcPr>
            <w:tcW w:w="993" w:type="dxa"/>
            <w:tcBorders>
              <w:top w:val="nil"/>
              <w:left w:val="nil"/>
              <w:bottom w:val="single" w:sz="4" w:space="0" w:color="auto"/>
              <w:right w:val="single" w:sz="4" w:space="0" w:color="auto"/>
            </w:tcBorders>
            <w:shd w:val="clear" w:color="auto" w:fill="92D050"/>
            <w:vAlign w:val="center"/>
            <w:hideMark/>
          </w:tcPr>
          <w:p w14:paraId="01D6DEB4" w14:textId="77777777" w:rsidR="00ED72C2"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w:t>
            </w:r>
            <w:r w:rsidR="00CA7B3C">
              <w:rPr>
                <w:rFonts w:asciiTheme="minorHAnsi" w:hAnsiTheme="minorHAnsi" w:cstheme="minorHAnsi"/>
                <w:sz w:val="16"/>
                <w:szCs w:val="16"/>
                <w:lang w:val="es-CO" w:eastAsia="es-CO"/>
              </w:rPr>
              <w:t>SÍ</w:t>
            </w:r>
          </w:p>
          <w:p w14:paraId="00103D19" w14:textId="4265CDB2" w:rsidR="00CA7B3C" w:rsidRPr="000B0F0A" w:rsidRDefault="00CA7B3C" w:rsidP="00CA7B3C">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p>
        </w:tc>
        <w:tc>
          <w:tcPr>
            <w:tcW w:w="4110" w:type="dxa"/>
            <w:tcBorders>
              <w:top w:val="nil"/>
              <w:left w:val="nil"/>
              <w:bottom w:val="single" w:sz="4" w:space="0" w:color="auto"/>
              <w:right w:val="single" w:sz="4" w:space="0" w:color="auto"/>
            </w:tcBorders>
            <w:shd w:val="clear" w:color="auto" w:fill="auto"/>
            <w:noWrap/>
            <w:vAlign w:val="center"/>
            <w:hideMark/>
          </w:tcPr>
          <w:p w14:paraId="0A0491E5" w14:textId="687666A2" w:rsidR="00ED72C2" w:rsidRPr="007B3F75" w:rsidRDefault="007B3F75" w:rsidP="000F5ADC">
            <w:pPr>
              <w:suppressAutoHyphens w:val="0"/>
              <w:autoSpaceDN/>
              <w:textAlignment w:val="auto"/>
              <w:rPr>
                <w:rFonts w:asciiTheme="minorHAnsi" w:hAnsiTheme="minorHAnsi" w:cstheme="minorHAnsi"/>
                <w:bCs/>
                <w:sz w:val="16"/>
                <w:szCs w:val="16"/>
                <w:lang w:val="es-CO" w:eastAsia="es-CO"/>
              </w:rPr>
            </w:pPr>
            <w:r w:rsidRPr="007B3F75">
              <w:rPr>
                <w:rFonts w:asciiTheme="minorHAnsi" w:hAnsiTheme="minorHAnsi" w:cstheme="minorHAnsi"/>
                <w:bCs/>
                <w:sz w:val="16"/>
                <w:szCs w:val="16"/>
                <w:lang w:val="es-CO" w:eastAsia="es-CO"/>
              </w:rPr>
              <w:t xml:space="preserve">La SAF informa que </w:t>
            </w:r>
            <w:r w:rsidRPr="007B3F75">
              <w:rPr>
                <w:rFonts w:asciiTheme="minorHAnsi" w:hAnsiTheme="minorHAnsi" w:cstheme="minorHAnsi"/>
                <w:bCs/>
                <w:i/>
                <w:sz w:val="16"/>
                <w:szCs w:val="16"/>
                <w:lang w:val="es-CO" w:eastAsia="es-CO"/>
              </w:rPr>
              <w:t xml:space="preserve">“…se adjunta Acta de cierre </w:t>
            </w:r>
            <w:r>
              <w:rPr>
                <w:rFonts w:asciiTheme="minorHAnsi" w:hAnsiTheme="minorHAnsi" w:cstheme="minorHAnsi"/>
                <w:bCs/>
                <w:i/>
                <w:sz w:val="16"/>
                <w:szCs w:val="16"/>
                <w:lang w:val="es-CO" w:eastAsia="es-CO"/>
              </w:rPr>
              <w:t xml:space="preserve">y </w:t>
            </w:r>
            <w:r w:rsidRPr="007B3F75">
              <w:rPr>
                <w:rFonts w:asciiTheme="minorHAnsi" w:hAnsiTheme="minorHAnsi" w:cstheme="minorHAnsi"/>
                <w:bCs/>
                <w:i/>
                <w:sz w:val="16"/>
                <w:szCs w:val="16"/>
                <w:lang w:val="es-CO" w:eastAsia="es-CO"/>
              </w:rPr>
              <w:t>conciliación de Almacén General Activos Fijos, suscrito entre las áreas de Almacén General y Contabilidad a febrero de 2021.”</w:t>
            </w:r>
          </w:p>
        </w:tc>
        <w:tc>
          <w:tcPr>
            <w:tcW w:w="3969" w:type="dxa"/>
            <w:tcBorders>
              <w:top w:val="nil"/>
              <w:left w:val="nil"/>
              <w:bottom w:val="single" w:sz="4" w:space="0" w:color="auto"/>
              <w:right w:val="single" w:sz="4" w:space="0" w:color="auto"/>
            </w:tcBorders>
            <w:shd w:val="clear" w:color="auto" w:fill="auto"/>
            <w:noWrap/>
            <w:vAlign w:val="center"/>
            <w:hideMark/>
          </w:tcPr>
          <w:p w14:paraId="24605A55" w14:textId="77777777" w:rsidR="002D4EC9" w:rsidRPr="000B0F0A" w:rsidRDefault="00ED72C2" w:rsidP="00ED72C2">
            <w:pPr>
              <w:suppressAutoHyphens w:val="0"/>
              <w:autoSpaceDN/>
              <w:jc w:val="left"/>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 </w:t>
            </w:r>
          </w:p>
          <w:p w14:paraId="7F3702AC" w14:textId="32196D41" w:rsidR="002C4C7F" w:rsidRPr="000F5ADC" w:rsidRDefault="002D4EC9" w:rsidP="00CA7B3C">
            <w:pPr>
              <w:pStyle w:val="Default"/>
              <w:jc w:val="both"/>
              <w:rPr>
                <w:rFonts w:asciiTheme="minorHAnsi" w:hAnsiTheme="minorHAnsi" w:cstheme="minorHAnsi"/>
                <w:sz w:val="16"/>
                <w:szCs w:val="16"/>
              </w:rPr>
            </w:pPr>
            <w:r w:rsidRPr="00BF0B92">
              <w:rPr>
                <w:rFonts w:asciiTheme="minorHAnsi" w:hAnsiTheme="minorHAnsi" w:cstheme="minorHAnsi"/>
                <w:b/>
                <w:bCs/>
                <w:i/>
                <w:sz w:val="16"/>
                <w:szCs w:val="16"/>
              </w:rPr>
              <w:t xml:space="preserve">ELABORACIÓN CONCILIACIÓN </w:t>
            </w:r>
            <w:r w:rsidRPr="00BF0B92">
              <w:rPr>
                <w:rFonts w:asciiTheme="minorHAnsi" w:hAnsiTheme="minorHAnsi" w:cstheme="minorHAnsi"/>
                <w:i/>
                <w:sz w:val="16"/>
                <w:szCs w:val="16"/>
              </w:rPr>
              <w:t xml:space="preserve">- </w:t>
            </w:r>
            <w:r w:rsidRPr="000F5ADC">
              <w:rPr>
                <w:rFonts w:asciiTheme="minorHAnsi" w:hAnsiTheme="minorHAnsi" w:cstheme="minorHAnsi"/>
                <w:sz w:val="16"/>
                <w:szCs w:val="16"/>
              </w:rPr>
              <w:t>Se presentan cuadros comparativos</w:t>
            </w:r>
            <w:r w:rsidR="00CA7B3C" w:rsidRPr="000F5ADC">
              <w:rPr>
                <w:rFonts w:asciiTheme="minorHAnsi" w:hAnsiTheme="minorHAnsi" w:cstheme="minorHAnsi"/>
                <w:sz w:val="16"/>
                <w:szCs w:val="16"/>
              </w:rPr>
              <w:t xml:space="preserve"> (conciliaciones) firmadas por parte de las áreas de </w:t>
            </w:r>
            <w:r w:rsidRPr="000F5ADC">
              <w:rPr>
                <w:rFonts w:asciiTheme="minorHAnsi" w:hAnsiTheme="minorHAnsi" w:cstheme="minorHAnsi"/>
                <w:sz w:val="16"/>
                <w:szCs w:val="16"/>
              </w:rPr>
              <w:t>Contabilidad</w:t>
            </w:r>
            <w:r w:rsidR="00CA7B3C" w:rsidRPr="000F5ADC">
              <w:rPr>
                <w:rFonts w:asciiTheme="minorHAnsi" w:hAnsiTheme="minorHAnsi" w:cstheme="minorHAnsi"/>
                <w:sz w:val="16"/>
                <w:szCs w:val="16"/>
              </w:rPr>
              <w:t xml:space="preserve"> y Almacén</w:t>
            </w:r>
            <w:r w:rsidRPr="000F5ADC">
              <w:rPr>
                <w:rFonts w:asciiTheme="minorHAnsi" w:hAnsiTheme="minorHAnsi" w:cstheme="minorHAnsi"/>
                <w:sz w:val="16"/>
                <w:szCs w:val="16"/>
              </w:rPr>
              <w:t xml:space="preserve">, </w:t>
            </w:r>
            <w:r w:rsidR="00111F4B" w:rsidRPr="000F5ADC">
              <w:rPr>
                <w:rFonts w:asciiTheme="minorHAnsi" w:hAnsiTheme="minorHAnsi" w:cstheme="minorHAnsi"/>
                <w:sz w:val="16"/>
                <w:szCs w:val="16"/>
              </w:rPr>
              <w:t xml:space="preserve">para </w:t>
            </w:r>
            <w:r w:rsidR="00CA7B3C" w:rsidRPr="000F5ADC">
              <w:rPr>
                <w:rFonts w:asciiTheme="minorHAnsi" w:hAnsiTheme="minorHAnsi" w:cstheme="minorHAnsi"/>
                <w:sz w:val="16"/>
                <w:szCs w:val="16"/>
              </w:rPr>
              <w:t>bienes nuevos, bienes usados, bienes en servicio e</w:t>
            </w:r>
            <w:r w:rsidRPr="000F5ADC">
              <w:rPr>
                <w:rFonts w:asciiTheme="minorHAnsi" w:hAnsiTheme="minorHAnsi" w:cstheme="minorHAnsi"/>
                <w:sz w:val="16"/>
                <w:szCs w:val="16"/>
              </w:rPr>
              <w:t xml:space="preserve"> inservibles</w:t>
            </w:r>
            <w:r w:rsidR="00111F4B" w:rsidRPr="000F5ADC">
              <w:rPr>
                <w:rFonts w:asciiTheme="minorHAnsi" w:hAnsiTheme="minorHAnsi" w:cstheme="minorHAnsi"/>
                <w:sz w:val="16"/>
                <w:szCs w:val="16"/>
              </w:rPr>
              <w:t xml:space="preserve"> y acta de</w:t>
            </w:r>
            <w:r w:rsidR="00111F4B" w:rsidRPr="00BF0B92">
              <w:rPr>
                <w:rFonts w:asciiTheme="minorHAnsi" w:hAnsiTheme="minorHAnsi" w:cstheme="minorHAnsi"/>
                <w:i/>
                <w:sz w:val="16"/>
                <w:szCs w:val="16"/>
              </w:rPr>
              <w:t xml:space="preserve"> “cierre mensual de almacén general activos fijos”</w:t>
            </w:r>
            <w:r w:rsidR="00CA7B3C">
              <w:rPr>
                <w:rFonts w:asciiTheme="minorHAnsi" w:hAnsiTheme="minorHAnsi" w:cstheme="minorHAnsi"/>
                <w:i/>
                <w:sz w:val="16"/>
                <w:szCs w:val="16"/>
              </w:rPr>
              <w:t xml:space="preserve">, </w:t>
            </w:r>
            <w:r w:rsidR="00CA7B3C" w:rsidRPr="000F5ADC">
              <w:rPr>
                <w:rFonts w:asciiTheme="minorHAnsi" w:hAnsiTheme="minorHAnsi" w:cstheme="minorHAnsi"/>
                <w:sz w:val="16"/>
                <w:szCs w:val="16"/>
              </w:rPr>
              <w:t>dando cumplimiento a la actividad definida en el Plan de Sostenibilidad contable.</w:t>
            </w:r>
          </w:p>
          <w:p w14:paraId="145668C8" w14:textId="77777777" w:rsidR="002C4C7F" w:rsidRDefault="002C4C7F" w:rsidP="002D4EC9">
            <w:pPr>
              <w:suppressAutoHyphens w:val="0"/>
              <w:autoSpaceDN/>
              <w:jc w:val="left"/>
              <w:textAlignment w:val="auto"/>
              <w:rPr>
                <w:b/>
                <w:bCs/>
                <w:sz w:val="16"/>
                <w:szCs w:val="16"/>
              </w:rPr>
            </w:pPr>
          </w:p>
          <w:p w14:paraId="3BA014B0" w14:textId="7357B92B" w:rsidR="00CA7B3C" w:rsidRPr="000F5ADC" w:rsidRDefault="002D4EC9" w:rsidP="00CA7B3C">
            <w:pPr>
              <w:suppressAutoHyphens w:val="0"/>
              <w:autoSpaceDN/>
              <w:textAlignment w:val="auto"/>
              <w:rPr>
                <w:rFonts w:asciiTheme="minorHAnsi" w:hAnsiTheme="minorHAnsi" w:cstheme="minorHAnsi"/>
                <w:b/>
                <w:bCs/>
                <w:sz w:val="16"/>
                <w:szCs w:val="16"/>
                <w:lang w:val="es-CO" w:eastAsia="es-CO"/>
              </w:rPr>
            </w:pPr>
            <w:r w:rsidRPr="002C4C7F">
              <w:rPr>
                <w:rFonts w:asciiTheme="minorHAnsi" w:hAnsiTheme="minorHAnsi" w:cstheme="minorHAnsi"/>
                <w:b/>
                <w:bCs/>
                <w:sz w:val="16"/>
                <w:szCs w:val="16"/>
              </w:rPr>
              <w:t xml:space="preserve">INFORME PARA REVELACIONES </w:t>
            </w:r>
            <w:r w:rsidRPr="000F5ADC">
              <w:rPr>
                <w:rFonts w:asciiTheme="minorHAnsi" w:hAnsiTheme="minorHAnsi" w:cstheme="minorHAnsi"/>
                <w:sz w:val="16"/>
                <w:szCs w:val="16"/>
              </w:rPr>
              <w:t xml:space="preserve">- </w:t>
            </w:r>
            <w:r w:rsidR="00CA7B3C" w:rsidRPr="000F5ADC">
              <w:rPr>
                <w:rFonts w:asciiTheme="minorHAnsi" w:hAnsiTheme="minorHAnsi" w:cstheme="minorHAnsi"/>
                <w:sz w:val="16"/>
                <w:szCs w:val="16"/>
              </w:rPr>
              <w:t>R</w:t>
            </w:r>
            <w:r w:rsidR="002C4C7F" w:rsidRPr="000F5ADC">
              <w:rPr>
                <w:rFonts w:asciiTheme="minorHAnsi" w:hAnsiTheme="minorHAnsi" w:cstheme="minorHAnsi"/>
                <w:sz w:val="16"/>
                <w:szCs w:val="16"/>
              </w:rPr>
              <w:t>evisadas las Notas a los Estados Financiera de la vigencia 2020, se observó</w:t>
            </w:r>
            <w:r w:rsidR="00CA7B3C" w:rsidRPr="000F5ADC">
              <w:rPr>
                <w:rFonts w:asciiTheme="minorHAnsi" w:hAnsiTheme="minorHAnsi" w:cstheme="minorHAnsi"/>
                <w:sz w:val="16"/>
                <w:szCs w:val="16"/>
              </w:rPr>
              <w:t xml:space="preserve"> que las mismas contienen información relacionada con los requisitos para la presentación de revelaciones precisados en el Plan de Sostenibilidad Contable, dando cumplimiento a la actividad.</w:t>
            </w:r>
          </w:p>
          <w:p w14:paraId="6C5DBF4E" w14:textId="582E0D94" w:rsidR="00CA7B3C" w:rsidRPr="002C4C7F" w:rsidRDefault="00CA7B3C" w:rsidP="00CA7B3C">
            <w:pPr>
              <w:suppressAutoHyphens w:val="0"/>
              <w:autoSpaceDN/>
              <w:textAlignment w:val="auto"/>
              <w:rPr>
                <w:rFonts w:asciiTheme="minorHAnsi" w:hAnsiTheme="minorHAnsi" w:cstheme="minorHAnsi"/>
                <w:b/>
                <w:bCs/>
                <w:sz w:val="16"/>
                <w:szCs w:val="16"/>
                <w:lang w:val="es-CO" w:eastAsia="es-CO"/>
              </w:rPr>
            </w:pPr>
          </w:p>
        </w:tc>
      </w:tr>
      <w:tr w:rsidR="00ED72C2" w:rsidRPr="000B0F0A" w14:paraId="08CE3ED2" w14:textId="77777777" w:rsidTr="003F7DED">
        <w:trPr>
          <w:trHeight w:val="3440"/>
        </w:trPr>
        <w:tc>
          <w:tcPr>
            <w:tcW w:w="317" w:type="dxa"/>
            <w:vMerge w:val="restart"/>
            <w:tcBorders>
              <w:top w:val="nil"/>
              <w:left w:val="single" w:sz="4" w:space="0" w:color="auto"/>
              <w:right w:val="single" w:sz="4" w:space="0" w:color="auto"/>
            </w:tcBorders>
            <w:shd w:val="clear" w:color="auto" w:fill="auto"/>
            <w:vAlign w:val="center"/>
            <w:hideMark/>
          </w:tcPr>
          <w:p w14:paraId="654073B9" w14:textId="6DA902E0"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lastRenderedPageBreak/>
              <w:t>7</w:t>
            </w:r>
          </w:p>
        </w:tc>
        <w:tc>
          <w:tcPr>
            <w:tcW w:w="954" w:type="dxa"/>
            <w:vMerge w:val="restart"/>
            <w:tcBorders>
              <w:top w:val="nil"/>
              <w:left w:val="nil"/>
              <w:right w:val="single" w:sz="4" w:space="0" w:color="auto"/>
            </w:tcBorders>
            <w:shd w:val="clear" w:color="auto" w:fill="auto"/>
            <w:vAlign w:val="center"/>
            <w:hideMark/>
          </w:tcPr>
          <w:p w14:paraId="74A45B51"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Bienes de Uso Público</w:t>
            </w:r>
          </w:p>
        </w:tc>
        <w:tc>
          <w:tcPr>
            <w:tcW w:w="3969" w:type="dxa"/>
            <w:vMerge w:val="restart"/>
            <w:tcBorders>
              <w:top w:val="nil"/>
              <w:left w:val="nil"/>
              <w:right w:val="single" w:sz="4" w:space="0" w:color="auto"/>
            </w:tcBorders>
            <w:shd w:val="clear" w:color="auto" w:fill="auto"/>
            <w:vAlign w:val="center"/>
            <w:hideMark/>
          </w:tcPr>
          <w:p w14:paraId="60502DD5" w14:textId="7B683AD8" w:rsidR="00ED72C2" w:rsidRPr="000B0F0A" w:rsidRDefault="00ED72C2" w:rsidP="00ED72C2">
            <w:pPr>
              <w:suppressAutoHyphens w:val="0"/>
              <w:autoSpaceDN/>
              <w:spacing w:after="240"/>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Realizar conciliación trimestral de los bienes de uso público sobre los cuales el IDRD tiene el control:</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 xml:space="preserve">1. Enviar a Contabilidad, un informe de las obras entregadas al servicio de la comunidad (En servicio) cuando esto ocurra. </w:t>
            </w:r>
            <w:r w:rsidRPr="000B0F0A">
              <w:rPr>
                <w:rFonts w:asciiTheme="minorHAnsi" w:hAnsiTheme="minorHAnsi" w:cstheme="minorHAnsi"/>
                <w:sz w:val="16"/>
                <w:szCs w:val="16"/>
                <w:lang w:val="es-CO" w:eastAsia="es-CO"/>
              </w:rPr>
              <w:br/>
              <w:t>2. Enviar a  Contabilidad, informe de los bienes de uso público entregados en comodato, indicando  tercero y valor, cuando esto ocurra.</w:t>
            </w:r>
            <w:r w:rsidRPr="000B0F0A">
              <w:rPr>
                <w:rFonts w:asciiTheme="minorHAnsi" w:hAnsiTheme="minorHAnsi" w:cstheme="minorHAnsi"/>
                <w:sz w:val="16"/>
                <w:szCs w:val="16"/>
                <w:lang w:val="es-CO" w:eastAsia="es-CO"/>
              </w:rPr>
              <w:br/>
              <w:t>3. Enviar a  Contabilidad, informe de los bienes de uso público que estén en proceso de  construcción.</w:t>
            </w:r>
            <w:r w:rsidRPr="000B0F0A">
              <w:rPr>
                <w:rFonts w:asciiTheme="minorHAnsi" w:hAnsiTheme="minorHAnsi" w:cstheme="minorHAnsi"/>
                <w:sz w:val="16"/>
                <w:szCs w:val="16"/>
                <w:lang w:val="es-CO" w:eastAsia="es-CO"/>
              </w:rPr>
              <w:br/>
              <w:t>4. Enviar a contabilidad la información de los bienes de uso público que este en construcción o servicio, bajo la modalidad de contratos de concesión, cuando esto ocurra.</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b/>
                <w:bCs/>
                <w:sz w:val="16"/>
                <w:szCs w:val="16"/>
                <w:lang w:val="es-CO" w:eastAsia="es-CO"/>
              </w:rPr>
              <w:t>Informe para revelaciones:</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  Informe que contenga el valor en libros de los bienes de uso público en servicio, la depreciación acumulada y la pérdida por deterioro, al principio y final del periodo contable.</w:t>
            </w:r>
            <w:r w:rsidRPr="000B0F0A">
              <w:rPr>
                <w:rFonts w:asciiTheme="minorHAnsi" w:hAnsiTheme="minorHAnsi" w:cstheme="minorHAnsi"/>
                <w:sz w:val="16"/>
                <w:szCs w:val="16"/>
                <w:lang w:val="es-CO" w:eastAsia="es-CO"/>
              </w:rPr>
              <w:br/>
              <w:t>- Una conciliación entre los valores en libros al principio y al final del periodo contable, que muestre por separado lo siguiente:  adquisiciones, mejoramientos, rehabilitaciones, bajas,  reclasificaciones a otro tipo de activos si esto ocurre, pérdidas por deterioro del valor reconocidas o revertidas, si esto ocurre,  y depreciación.</w:t>
            </w:r>
            <w:r w:rsidRPr="000B0F0A">
              <w:rPr>
                <w:rFonts w:asciiTheme="minorHAnsi" w:hAnsiTheme="minorHAnsi" w:cstheme="minorHAnsi"/>
                <w:sz w:val="16"/>
                <w:szCs w:val="16"/>
                <w:lang w:val="es-CO" w:eastAsia="es-CO"/>
              </w:rPr>
              <w:br/>
              <w:t>- El cambio en la estimación de la vida útil de los bienes de uso público, si esto ocurre.</w:t>
            </w:r>
            <w:r w:rsidRPr="000B0F0A">
              <w:rPr>
                <w:rFonts w:asciiTheme="minorHAnsi" w:hAnsiTheme="minorHAnsi" w:cstheme="minorHAnsi"/>
                <w:sz w:val="16"/>
                <w:szCs w:val="16"/>
                <w:lang w:val="es-CO" w:eastAsia="es-CO"/>
              </w:rPr>
              <w:br/>
              <w:t>- El valor de los bienes de uso público en proceso de construcción, el estado de avance y la fecha estimada de terminación.</w:t>
            </w:r>
            <w:r w:rsidRPr="000B0F0A">
              <w:rPr>
                <w:rFonts w:asciiTheme="minorHAnsi" w:hAnsiTheme="minorHAnsi" w:cstheme="minorHAnsi"/>
                <w:sz w:val="16"/>
                <w:szCs w:val="16"/>
                <w:lang w:val="es-CO" w:eastAsia="es-CO"/>
              </w:rPr>
              <w:br/>
              <w:t>-  El valor en libros de los bienes de uso público entregados en comodato, si esto ocurre.</w:t>
            </w:r>
            <w:r w:rsidRPr="000B0F0A">
              <w:rPr>
                <w:rFonts w:asciiTheme="minorHAnsi" w:hAnsiTheme="minorHAnsi" w:cstheme="minorHAnsi"/>
                <w:sz w:val="16"/>
                <w:szCs w:val="16"/>
                <w:lang w:val="es-CO" w:eastAsia="es-CO"/>
              </w:rPr>
              <w:br/>
              <w:t>-  La información de los bienes de uso público que este en construcción o servicio, bajo la modalidad de contratos de concesión, si esto ocurre.</w:t>
            </w:r>
            <w:r w:rsidRPr="000B0F0A">
              <w:rPr>
                <w:rFonts w:asciiTheme="minorHAnsi" w:hAnsiTheme="minorHAnsi" w:cstheme="minorHAnsi"/>
                <w:sz w:val="16"/>
                <w:szCs w:val="16"/>
                <w:lang w:val="es-CO" w:eastAsia="es-CO"/>
              </w:rPr>
              <w:br/>
              <w:t>- Como mínimo al cierre de cada año el IDRD, a través de la Subdirección Técnica de Parques, evaluará la existencia de indicios de que el activo pueda estar sujeto a deterioro de acuerdo a la "Guía para el cálculo de deterioro del valor de los activos no generadores de efectivo"  y realizará informe en caso de que así sea, el cual deberá ser remitido al área contable, para que efectúe los registr</w:t>
            </w:r>
            <w:r>
              <w:rPr>
                <w:rFonts w:asciiTheme="minorHAnsi" w:hAnsiTheme="minorHAnsi" w:cstheme="minorHAnsi"/>
                <w:sz w:val="16"/>
                <w:szCs w:val="16"/>
                <w:lang w:val="es-CO" w:eastAsia="es-CO"/>
              </w:rPr>
              <w:t>os a que haya lugar.</w:t>
            </w:r>
          </w:p>
        </w:tc>
        <w:tc>
          <w:tcPr>
            <w:tcW w:w="3544" w:type="dxa"/>
            <w:vMerge w:val="restart"/>
            <w:tcBorders>
              <w:top w:val="nil"/>
              <w:left w:val="nil"/>
              <w:right w:val="single" w:sz="4" w:space="0" w:color="auto"/>
            </w:tcBorders>
            <w:shd w:val="clear" w:color="auto" w:fill="auto"/>
            <w:vAlign w:val="center"/>
            <w:hideMark/>
          </w:tcPr>
          <w:p w14:paraId="7EFB2482" w14:textId="77777777" w:rsidR="00ED72C2" w:rsidRPr="000B0F0A" w:rsidRDefault="00ED72C2" w:rsidP="00ED72C2">
            <w:pPr>
              <w:suppressAutoHyphens w:val="0"/>
              <w:autoSpaceDN/>
              <w:spacing w:after="240"/>
              <w:textAlignment w:val="auto"/>
              <w:rPr>
                <w:rFonts w:asciiTheme="minorHAnsi" w:hAnsiTheme="minorHAnsi" w:cstheme="minorHAnsi"/>
                <w:b/>
                <w:bCs/>
                <w:color w:val="000000"/>
                <w:sz w:val="16"/>
                <w:szCs w:val="16"/>
                <w:lang w:val="es-CO" w:eastAsia="es-CO"/>
              </w:rPr>
            </w:pPr>
            <w:r w:rsidRPr="000B0F0A">
              <w:rPr>
                <w:rFonts w:asciiTheme="minorHAnsi" w:hAnsiTheme="minorHAnsi" w:cstheme="minorHAnsi"/>
                <w:b/>
                <w:bCs/>
                <w:color w:val="000000"/>
                <w:sz w:val="16"/>
                <w:szCs w:val="16"/>
                <w:lang w:val="es-CO" w:eastAsia="es-CO"/>
              </w:rPr>
              <w:t xml:space="preserve">12.6.2. Bienes de Uso Público - Reconocimiento: </w:t>
            </w:r>
            <w:r w:rsidRPr="000B0F0A">
              <w:rPr>
                <w:rFonts w:asciiTheme="minorHAnsi" w:hAnsiTheme="minorHAnsi" w:cstheme="minorHAnsi"/>
                <w:color w:val="000000"/>
                <w:sz w:val="16"/>
                <w:szCs w:val="16"/>
                <w:lang w:val="es-CO" w:eastAsia="es-CO"/>
              </w:rPr>
              <w:t xml:space="preserve">"El Instituto Distrital de Recreación y Deporte - </w:t>
            </w:r>
            <w:proofErr w:type="spellStart"/>
            <w:r w:rsidRPr="000B0F0A">
              <w:rPr>
                <w:rFonts w:asciiTheme="minorHAnsi" w:hAnsiTheme="minorHAnsi" w:cstheme="minorHAnsi"/>
                <w:color w:val="000000"/>
                <w:sz w:val="16"/>
                <w:szCs w:val="16"/>
                <w:lang w:val="es-CO" w:eastAsia="es-CO"/>
              </w:rPr>
              <w:t>lDRD</w:t>
            </w:r>
            <w:proofErr w:type="spellEnd"/>
            <w:r w:rsidRPr="000B0F0A">
              <w:rPr>
                <w:rFonts w:asciiTheme="minorHAnsi" w:hAnsiTheme="minorHAnsi" w:cstheme="minorHAnsi"/>
                <w:color w:val="000000"/>
                <w:sz w:val="16"/>
                <w:szCs w:val="16"/>
                <w:lang w:val="es-CO" w:eastAsia="es-CO"/>
              </w:rPr>
              <w:t>, reconoce como bienes de uso público, los activos destinados para el uso, goce y disfrute de la colectividad y que, por lo tanto, están al servicio de esta en forma permanente, con las limitaciones que establece el ordenamiento jurídico y la autoridad que regula su utilización"</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b/>
                <w:bCs/>
                <w:color w:val="000000"/>
                <w:sz w:val="16"/>
                <w:szCs w:val="16"/>
                <w:lang w:val="es-CO" w:eastAsia="es-CO"/>
              </w:rPr>
              <w:t>12.6.4</w:t>
            </w:r>
            <w:r w:rsidRPr="000B0F0A">
              <w:rPr>
                <w:rFonts w:asciiTheme="minorHAnsi" w:hAnsiTheme="minorHAnsi" w:cstheme="minorHAnsi"/>
                <w:color w:val="000000"/>
                <w:sz w:val="16"/>
                <w:szCs w:val="16"/>
                <w:lang w:val="es-CO" w:eastAsia="es-CO"/>
              </w:rPr>
              <w:t xml:space="preserve">. </w:t>
            </w:r>
            <w:r w:rsidRPr="000B0F0A">
              <w:rPr>
                <w:rFonts w:asciiTheme="minorHAnsi" w:hAnsiTheme="minorHAnsi" w:cstheme="minorHAnsi"/>
                <w:b/>
                <w:bCs/>
                <w:color w:val="000000"/>
                <w:sz w:val="16"/>
                <w:szCs w:val="16"/>
                <w:lang w:val="es-CO" w:eastAsia="es-CO"/>
              </w:rPr>
              <w:t>Medición Posterior</w:t>
            </w:r>
            <w:r w:rsidRPr="000B0F0A">
              <w:rPr>
                <w:rFonts w:asciiTheme="minorHAnsi" w:hAnsiTheme="minorHAnsi" w:cstheme="minorHAnsi"/>
                <w:b/>
                <w:bCs/>
                <w:color w:val="000000"/>
                <w:sz w:val="16"/>
                <w:szCs w:val="16"/>
                <w:lang w:val="es-CO" w:eastAsia="es-CO"/>
              </w:rPr>
              <w:br/>
            </w:r>
            <w:r w:rsidRPr="000B0F0A">
              <w:rPr>
                <w:rFonts w:asciiTheme="minorHAnsi" w:hAnsiTheme="minorHAnsi" w:cstheme="minorHAnsi"/>
                <w:b/>
                <w:bCs/>
                <w:color w:val="000000"/>
                <w:sz w:val="16"/>
                <w:szCs w:val="16"/>
                <w:lang w:val="es-CO" w:eastAsia="es-CO"/>
              </w:rPr>
              <w:br/>
            </w:r>
            <w:r w:rsidRPr="000B0F0A">
              <w:rPr>
                <w:rFonts w:asciiTheme="minorHAnsi" w:hAnsiTheme="minorHAnsi" w:cstheme="minorHAnsi"/>
                <w:color w:val="000000"/>
                <w:sz w:val="16"/>
                <w:szCs w:val="16"/>
                <w:lang w:val="es-CO" w:eastAsia="es-CO"/>
              </w:rPr>
              <w:t xml:space="preserve">Después del reconocimiento, los bienes de uso público se miden por el costo menos la depreciación acumulada menos el deterioro acumulado. </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b/>
                <w:bCs/>
                <w:color w:val="000000"/>
                <w:sz w:val="16"/>
                <w:szCs w:val="16"/>
                <w:lang w:val="es-CO" w:eastAsia="es-CO"/>
              </w:rPr>
              <w:br/>
            </w:r>
            <w:r w:rsidRPr="000B0F0A">
              <w:rPr>
                <w:rFonts w:asciiTheme="minorHAnsi" w:hAnsiTheme="minorHAnsi" w:cstheme="minorHAnsi"/>
                <w:b/>
                <w:bCs/>
                <w:color w:val="000000"/>
                <w:sz w:val="16"/>
                <w:szCs w:val="16"/>
                <w:lang w:val="es-CO" w:eastAsia="es-CO"/>
              </w:rPr>
              <w:br/>
              <w:t xml:space="preserve">12.6.4.3 Deterioro: </w:t>
            </w:r>
            <w:r w:rsidRPr="00187F9D">
              <w:rPr>
                <w:rFonts w:asciiTheme="minorHAnsi" w:hAnsiTheme="minorHAnsi" w:cstheme="minorHAnsi"/>
                <w:i/>
                <w:color w:val="000000"/>
                <w:sz w:val="16"/>
                <w:szCs w:val="16"/>
                <w:lang w:val="es-CO" w:eastAsia="es-CO"/>
              </w:rPr>
              <w:t>"EI IDRD evaluará el deterioro para los elementos de los bienes de uso público que se consideren materiales. Este proceso se realizará como mínimo al final del periodo contable..."</w:t>
            </w:r>
          </w:p>
        </w:tc>
        <w:tc>
          <w:tcPr>
            <w:tcW w:w="1276" w:type="dxa"/>
            <w:tcBorders>
              <w:top w:val="nil"/>
              <w:left w:val="nil"/>
              <w:bottom w:val="single" w:sz="4" w:space="0" w:color="auto"/>
              <w:right w:val="single" w:sz="4" w:space="0" w:color="auto"/>
            </w:tcBorders>
            <w:shd w:val="clear" w:color="auto" w:fill="auto"/>
            <w:vAlign w:val="center"/>
            <w:hideMark/>
          </w:tcPr>
          <w:p w14:paraId="03B49128" w14:textId="5E19AE0E"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Subdirección de Construcciones</w:t>
            </w:r>
            <w:r>
              <w:rPr>
                <w:rFonts w:asciiTheme="minorHAnsi" w:hAnsiTheme="minorHAnsi" w:cstheme="minorHAnsi"/>
                <w:sz w:val="16"/>
                <w:szCs w:val="16"/>
                <w:lang w:val="es-CO" w:eastAsia="es-CO"/>
              </w:rPr>
              <w:t xml:space="preserve">    </w:t>
            </w:r>
          </w:p>
        </w:tc>
        <w:tc>
          <w:tcPr>
            <w:tcW w:w="1984" w:type="dxa"/>
            <w:vMerge w:val="restart"/>
            <w:tcBorders>
              <w:top w:val="nil"/>
              <w:left w:val="nil"/>
              <w:right w:val="single" w:sz="4" w:space="0" w:color="auto"/>
            </w:tcBorders>
            <w:shd w:val="clear" w:color="auto" w:fill="auto"/>
            <w:vAlign w:val="center"/>
            <w:hideMark/>
          </w:tcPr>
          <w:p w14:paraId="41315DCF"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br/>
              <w:t>Trimestralmente</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Anualmente</w:t>
            </w:r>
          </w:p>
        </w:tc>
        <w:tc>
          <w:tcPr>
            <w:tcW w:w="1559" w:type="dxa"/>
            <w:tcBorders>
              <w:top w:val="nil"/>
              <w:left w:val="nil"/>
              <w:bottom w:val="single" w:sz="4" w:space="0" w:color="auto"/>
              <w:right w:val="single" w:sz="4" w:space="0" w:color="auto"/>
            </w:tcBorders>
            <w:shd w:val="clear" w:color="auto" w:fill="auto"/>
            <w:vAlign w:val="center"/>
            <w:hideMark/>
          </w:tcPr>
          <w:p w14:paraId="1DE8A378" w14:textId="067D2E52" w:rsidR="00ED72C2" w:rsidRPr="000B0F0A" w:rsidRDefault="00B84271" w:rsidP="00ED72C2">
            <w:pPr>
              <w:suppressAutoHyphens w:val="0"/>
              <w:autoSpaceDN/>
              <w:jc w:val="center"/>
              <w:textAlignment w:val="auto"/>
              <w:rPr>
                <w:rFonts w:asciiTheme="minorHAnsi" w:hAnsiTheme="minorHAnsi" w:cstheme="minorHAnsi"/>
                <w:sz w:val="16"/>
                <w:szCs w:val="16"/>
                <w:lang w:val="es-CO" w:eastAsia="es-CO"/>
              </w:rPr>
            </w:pPr>
            <w:r w:rsidRPr="00B84271">
              <w:rPr>
                <w:rFonts w:asciiTheme="minorHAnsi" w:hAnsiTheme="minorHAnsi" w:cstheme="minorHAnsi"/>
                <w:sz w:val="16"/>
                <w:szCs w:val="16"/>
                <w:lang w:val="es-CO" w:eastAsia="es-CO"/>
              </w:rPr>
              <w:t>20214000124603</w:t>
            </w:r>
          </w:p>
        </w:tc>
        <w:tc>
          <w:tcPr>
            <w:tcW w:w="993" w:type="dxa"/>
            <w:vMerge w:val="restart"/>
            <w:tcBorders>
              <w:top w:val="nil"/>
              <w:left w:val="nil"/>
              <w:right w:val="single" w:sz="4" w:space="0" w:color="auto"/>
            </w:tcBorders>
            <w:shd w:val="clear" w:color="auto" w:fill="92D050"/>
            <w:vAlign w:val="center"/>
            <w:hideMark/>
          </w:tcPr>
          <w:p w14:paraId="5AFD7442" w14:textId="43D21629" w:rsidR="000D3424" w:rsidRDefault="003F7DED"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SÍ</w:t>
            </w:r>
          </w:p>
          <w:p w14:paraId="00D40133" w14:textId="2D52BBE6" w:rsidR="00ED72C2" w:rsidRPr="000B0F0A" w:rsidRDefault="003F7DED"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w:t>
            </w:r>
            <w:r w:rsidR="000D3424">
              <w:rPr>
                <w:rFonts w:asciiTheme="minorHAnsi" w:hAnsiTheme="minorHAnsi" w:cstheme="minorHAnsi"/>
                <w:sz w:val="16"/>
                <w:szCs w:val="16"/>
                <w:lang w:val="es-CO" w:eastAsia="es-CO"/>
              </w:rPr>
              <w:t>0%</w:t>
            </w:r>
          </w:p>
        </w:tc>
        <w:tc>
          <w:tcPr>
            <w:tcW w:w="4110" w:type="dxa"/>
            <w:tcBorders>
              <w:top w:val="nil"/>
              <w:left w:val="nil"/>
              <w:bottom w:val="single" w:sz="4" w:space="0" w:color="auto"/>
              <w:right w:val="single" w:sz="4" w:space="0" w:color="auto"/>
            </w:tcBorders>
            <w:shd w:val="clear" w:color="auto" w:fill="auto"/>
            <w:noWrap/>
            <w:vAlign w:val="center"/>
            <w:hideMark/>
          </w:tcPr>
          <w:p w14:paraId="51BBFCA0" w14:textId="69BF572F" w:rsidR="0073238B" w:rsidRPr="00350388" w:rsidRDefault="0073238B" w:rsidP="00350388">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Por Indagación (13-abr-2021), en rela</w:t>
            </w:r>
            <w:r w:rsidR="000F5ADC">
              <w:rPr>
                <w:rFonts w:asciiTheme="minorHAnsi" w:hAnsiTheme="minorHAnsi" w:cstheme="minorHAnsi"/>
                <w:bCs/>
                <w:sz w:val="16"/>
                <w:szCs w:val="16"/>
                <w:lang w:val="es-CO" w:eastAsia="es-CO"/>
              </w:rPr>
              <w:t xml:space="preserve">ción con los temas 7, 15 y 16, </w:t>
            </w:r>
            <w:r>
              <w:rPr>
                <w:rFonts w:asciiTheme="minorHAnsi" w:hAnsiTheme="minorHAnsi" w:cstheme="minorHAnsi"/>
                <w:bCs/>
                <w:sz w:val="16"/>
                <w:szCs w:val="16"/>
                <w:lang w:val="es-CO" w:eastAsia="es-CO"/>
              </w:rPr>
              <w:t xml:space="preserve"> la STC indican que: </w:t>
            </w:r>
            <w:r w:rsidRPr="000F5ADC">
              <w:rPr>
                <w:rFonts w:asciiTheme="minorHAnsi" w:hAnsiTheme="minorHAnsi" w:cstheme="minorHAnsi"/>
                <w:bCs/>
                <w:i/>
                <w:sz w:val="16"/>
                <w:szCs w:val="16"/>
                <w:lang w:val="es-CO" w:eastAsia="es-CO"/>
              </w:rPr>
              <w:t>“en referencia con los temas 7, 15 y 16 no se remitió respuesta ya que en el periodo solicitado no se contaban con contratos de concesión y el tema 13 no se remite información ya que en febrero 2021 no tenemos por pagar febrero tenemos cuentas por pagar las cuentas por pagar se constituyeron en diciembre y se pagaron en enero 2021”.</w:t>
            </w:r>
          </w:p>
        </w:tc>
        <w:tc>
          <w:tcPr>
            <w:tcW w:w="3969" w:type="dxa"/>
            <w:tcBorders>
              <w:top w:val="nil"/>
              <w:left w:val="nil"/>
              <w:bottom w:val="single" w:sz="4" w:space="0" w:color="auto"/>
              <w:right w:val="single" w:sz="4" w:space="0" w:color="auto"/>
            </w:tcBorders>
            <w:shd w:val="clear" w:color="auto" w:fill="auto"/>
            <w:noWrap/>
            <w:vAlign w:val="center"/>
            <w:hideMark/>
          </w:tcPr>
          <w:p w14:paraId="3A07BF50" w14:textId="0E51F1BD" w:rsidR="003F7DED" w:rsidRPr="003F7DED" w:rsidRDefault="003F7DED" w:rsidP="003F7DED">
            <w:pPr>
              <w:suppressAutoHyphens w:val="0"/>
              <w:autoSpaceDN/>
              <w:textAlignment w:val="auto"/>
              <w:rPr>
                <w:rFonts w:asciiTheme="minorHAnsi" w:hAnsiTheme="minorHAnsi" w:cstheme="minorHAnsi"/>
                <w:bCs/>
                <w:sz w:val="16"/>
                <w:szCs w:val="16"/>
                <w:lang w:val="es-CO" w:eastAsia="es-CO"/>
              </w:rPr>
            </w:pPr>
            <w:r w:rsidRPr="003F7DED">
              <w:rPr>
                <w:rFonts w:asciiTheme="minorHAnsi" w:hAnsiTheme="minorHAnsi" w:cstheme="minorHAnsi"/>
                <w:bCs/>
                <w:sz w:val="16"/>
                <w:szCs w:val="16"/>
                <w:lang w:val="es-CO" w:eastAsia="es-CO"/>
              </w:rPr>
              <w:t>Se verificó, con resultados satisfactorios que la STC remitió a contabilidad la conciliación a 31 de diciembre de 2020 y la información requerida para revelaciones en los Estados Financieros (Nota 11 - Bienes de uso público e históricos y culturales)</w:t>
            </w:r>
          </w:p>
          <w:p w14:paraId="564321A0" w14:textId="77777777" w:rsidR="003F7DED" w:rsidRPr="003F7DED" w:rsidRDefault="003F7DED" w:rsidP="003F7DED">
            <w:pPr>
              <w:suppressAutoHyphens w:val="0"/>
              <w:autoSpaceDN/>
              <w:textAlignment w:val="auto"/>
              <w:rPr>
                <w:rFonts w:asciiTheme="minorHAnsi" w:hAnsiTheme="minorHAnsi" w:cstheme="minorHAnsi"/>
                <w:bCs/>
                <w:sz w:val="16"/>
                <w:szCs w:val="16"/>
                <w:lang w:val="es-CO" w:eastAsia="es-CO"/>
              </w:rPr>
            </w:pPr>
          </w:p>
          <w:p w14:paraId="686DCE7D" w14:textId="77777777" w:rsidR="003F7DED" w:rsidRPr="003F7DED" w:rsidRDefault="003F7DED" w:rsidP="003F7DED">
            <w:pPr>
              <w:suppressAutoHyphens w:val="0"/>
              <w:autoSpaceDN/>
              <w:textAlignment w:val="auto"/>
              <w:rPr>
                <w:rFonts w:asciiTheme="minorHAnsi" w:hAnsiTheme="minorHAnsi" w:cstheme="minorHAnsi"/>
                <w:bCs/>
                <w:sz w:val="16"/>
                <w:szCs w:val="16"/>
                <w:lang w:val="es-CO" w:eastAsia="es-CO"/>
              </w:rPr>
            </w:pPr>
            <w:r w:rsidRPr="003F7DED">
              <w:rPr>
                <w:rFonts w:asciiTheme="minorHAnsi" w:hAnsiTheme="minorHAnsi" w:cstheme="minorHAnsi"/>
                <w:bCs/>
                <w:sz w:val="16"/>
                <w:szCs w:val="16"/>
                <w:lang w:val="es-CO" w:eastAsia="es-CO"/>
              </w:rPr>
              <w:t>Revisadas las revelaciones, se observó que no se presentaron deterioros.</w:t>
            </w:r>
          </w:p>
          <w:p w14:paraId="579789AB" w14:textId="77777777" w:rsidR="003F7DED" w:rsidRPr="003F7DED" w:rsidRDefault="003F7DED" w:rsidP="003F7DED">
            <w:pPr>
              <w:suppressAutoHyphens w:val="0"/>
              <w:autoSpaceDN/>
              <w:textAlignment w:val="auto"/>
              <w:rPr>
                <w:rFonts w:asciiTheme="minorHAnsi" w:hAnsiTheme="minorHAnsi" w:cstheme="minorHAnsi"/>
                <w:bCs/>
                <w:sz w:val="16"/>
                <w:szCs w:val="16"/>
                <w:lang w:val="es-CO" w:eastAsia="es-CO"/>
              </w:rPr>
            </w:pPr>
          </w:p>
          <w:p w14:paraId="5E0F376D" w14:textId="277DA68B" w:rsidR="00ED72C2" w:rsidRPr="003F7DED" w:rsidRDefault="003F7DED" w:rsidP="003F7DED">
            <w:pPr>
              <w:suppressAutoHyphens w:val="0"/>
              <w:autoSpaceDN/>
              <w:textAlignment w:val="auto"/>
              <w:rPr>
                <w:rFonts w:asciiTheme="minorHAnsi" w:hAnsiTheme="minorHAnsi" w:cstheme="minorHAnsi"/>
                <w:b/>
                <w:bCs/>
                <w:sz w:val="16"/>
                <w:szCs w:val="16"/>
                <w:lang w:val="es-CO" w:eastAsia="es-CO"/>
              </w:rPr>
            </w:pPr>
            <w:r w:rsidRPr="003F7DED">
              <w:rPr>
                <w:rFonts w:asciiTheme="minorHAnsi" w:hAnsiTheme="minorHAnsi" w:cstheme="minorHAnsi"/>
                <w:bCs/>
                <w:sz w:val="16"/>
                <w:szCs w:val="16"/>
                <w:lang w:val="es-CO" w:eastAsia="es-CO"/>
              </w:rPr>
              <w:t>Según STC y STP, no hubo c</w:t>
            </w:r>
            <w:r w:rsidR="000F5ADC">
              <w:rPr>
                <w:rFonts w:asciiTheme="minorHAnsi" w:hAnsiTheme="minorHAnsi" w:cstheme="minorHAnsi"/>
                <w:bCs/>
                <w:sz w:val="16"/>
                <w:szCs w:val="16"/>
                <w:lang w:val="es-CO" w:eastAsia="es-CO"/>
              </w:rPr>
              <w:t>omodatos en el último trimestre.</w:t>
            </w:r>
          </w:p>
        </w:tc>
      </w:tr>
      <w:tr w:rsidR="00ED72C2" w:rsidRPr="000B0F0A" w14:paraId="3E2C4560" w14:textId="77777777" w:rsidTr="003F7DED">
        <w:trPr>
          <w:trHeight w:val="4365"/>
        </w:trPr>
        <w:tc>
          <w:tcPr>
            <w:tcW w:w="317" w:type="dxa"/>
            <w:vMerge/>
            <w:tcBorders>
              <w:left w:val="single" w:sz="4" w:space="0" w:color="auto"/>
              <w:bottom w:val="single" w:sz="4" w:space="0" w:color="auto"/>
              <w:right w:val="single" w:sz="4" w:space="0" w:color="auto"/>
            </w:tcBorders>
            <w:shd w:val="clear" w:color="auto" w:fill="auto"/>
            <w:vAlign w:val="center"/>
          </w:tcPr>
          <w:p w14:paraId="49F67A6C"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bottom w:val="single" w:sz="4" w:space="0" w:color="auto"/>
              <w:right w:val="single" w:sz="4" w:space="0" w:color="auto"/>
            </w:tcBorders>
            <w:shd w:val="clear" w:color="auto" w:fill="auto"/>
            <w:vAlign w:val="center"/>
          </w:tcPr>
          <w:p w14:paraId="0FC35516"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bottom w:val="single" w:sz="4" w:space="0" w:color="auto"/>
              <w:right w:val="single" w:sz="4" w:space="0" w:color="auto"/>
            </w:tcBorders>
            <w:shd w:val="clear" w:color="auto" w:fill="auto"/>
            <w:vAlign w:val="center"/>
          </w:tcPr>
          <w:p w14:paraId="53A3DAEC" w14:textId="77777777" w:rsidR="00ED72C2" w:rsidRPr="000B0F0A" w:rsidRDefault="00ED72C2" w:rsidP="00ED72C2">
            <w:pPr>
              <w:suppressAutoHyphens w:val="0"/>
              <w:autoSpaceDN/>
              <w:spacing w:after="240"/>
              <w:textAlignment w:val="auto"/>
              <w:rPr>
                <w:rFonts w:asciiTheme="minorHAnsi" w:hAnsiTheme="minorHAnsi" w:cstheme="minorHAnsi"/>
                <w:sz w:val="16"/>
                <w:szCs w:val="16"/>
                <w:lang w:val="es-CO" w:eastAsia="es-CO"/>
              </w:rPr>
            </w:pPr>
          </w:p>
        </w:tc>
        <w:tc>
          <w:tcPr>
            <w:tcW w:w="3544" w:type="dxa"/>
            <w:vMerge/>
            <w:tcBorders>
              <w:left w:val="nil"/>
              <w:bottom w:val="single" w:sz="4" w:space="0" w:color="auto"/>
              <w:right w:val="single" w:sz="4" w:space="0" w:color="auto"/>
            </w:tcBorders>
            <w:shd w:val="clear" w:color="auto" w:fill="auto"/>
            <w:vAlign w:val="center"/>
          </w:tcPr>
          <w:p w14:paraId="501276D6" w14:textId="77777777" w:rsidR="00ED72C2" w:rsidRPr="000B0F0A" w:rsidRDefault="00ED72C2" w:rsidP="00ED72C2">
            <w:pPr>
              <w:suppressAutoHyphens w:val="0"/>
              <w:autoSpaceDN/>
              <w:spacing w:after="240"/>
              <w:textAlignment w:val="auto"/>
              <w:rPr>
                <w:rFonts w:asciiTheme="minorHAnsi" w:hAnsiTheme="minorHAnsi" w:cstheme="minorHAnsi"/>
                <w:b/>
                <w:bCs/>
                <w:color w:val="000000"/>
                <w:sz w:val="16"/>
                <w:szCs w:val="16"/>
                <w:lang w:val="es-CO" w:eastAsia="es-C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65C72E" w14:textId="0ABE6262" w:rsidR="00ED72C2" w:rsidRPr="000B0F0A" w:rsidRDefault="00ED72C2" w:rsidP="00ED72C2">
            <w:pPr>
              <w:jc w:val="center"/>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Subdirección Técnica de Parques</w:t>
            </w:r>
          </w:p>
        </w:tc>
        <w:tc>
          <w:tcPr>
            <w:tcW w:w="1984" w:type="dxa"/>
            <w:vMerge/>
            <w:tcBorders>
              <w:left w:val="nil"/>
              <w:bottom w:val="single" w:sz="4" w:space="0" w:color="auto"/>
              <w:right w:val="single" w:sz="4" w:space="0" w:color="auto"/>
            </w:tcBorders>
            <w:shd w:val="clear" w:color="auto" w:fill="auto"/>
            <w:vAlign w:val="center"/>
          </w:tcPr>
          <w:p w14:paraId="2E972EF1"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8F09782" w14:textId="01DE49C7" w:rsidR="00ED72C2" w:rsidRPr="000B0F0A" w:rsidRDefault="00A64017" w:rsidP="00ED72C2">
            <w:pPr>
              <w:jc w:val="center"/>
              <w:rPr>
                <w:rFonts w:asciiTheme="minorHAnsi" w:hAnsiTheme="minorHAnsi" w:cstheme="minorHAnsi"/>
                <w:sz w:val="16"/>
                <w:szCs w:val="16"/>
                <w:lang w:val="es-CO" w:eastAsia="es-CO"/>
              </w:rPr>
            </w:pPr>
            <w:r w:rsidRPr="00A64017">
              <w:rPr>
                <w:rFonts w:asciiTheme="minorHAnsi" w:hAnsiTheme="minorHAnsi" w:cstheme="minorHAnsi"/>
                <w:sz w:val="16"/>
                <w:szCs w:val="16"/>
                <w:lang w:val="es-CO" w:eastAsia="es-CO"/>
              </w:rPr>
              <w:t>20216200126483</w:t>
            </w:r>
          </w:p>
        </w:tc>
        <w:tc>
          <w:tcPr>
            <w:tcW w:w="993" w:type="dxa"/>
            <w:vMerge/>
            <w:tcBorders>
              <w:left w:val="nil"/>
              <w:bottom w:val="single" w:sz="4" w:space="0" w:color="auto"/>
              <w:right w:val="single" w:sz="4" w:space="0" w:color="auto"/>
            </w:tcBorders>
            <w:shd w:val="clear" w:color="auto" w:fill="92D050"/>
          </w:tcPr>
          <w:p w14:paraId="40F14CC3"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3821E0D5" w14:textId="66BEC650" w:rsidR="00A64017" w:rsidRPr="00A64017" w:rsidRDefault="00A64017" w:rsidP="00A64017">
            <w:pPr>
              <w:rPr>
                <w:rFonts w:asciiTheme="minorHAnsi" w:hAnsiTheme="minorHAnsi" w:cstheme="minorHAnsi"/>
                <w:bCs/>
                <w:i/>
                <w:sz w:val="16"/>
                <w:szCs w:val="16"/>
                <w:lang w:val="es-CO" w:eastAsia="es-CO"/>
              </w:rPr>
            </w:pPr>
            <w:r>
              <w:rPr>
                <w:rFonts w:asciiTheme="minorHAnsi" w:hAnsiTheme="minorHAnsi" w:cstheme="minorHAnsi"/>
                <w:bCs/>
                <w:sz w:val="16"/>
                <w:szCs w:val="16"/>
                <w:lang w:val="es-CO" w:eastAsia="es-CO"/>
              </w:rPr>
              <w:t xml:space="preserve">La STP informa que </w:t>
            </w:r>
            <w:r w:rsidRPr="00A64017">
              <w:rPr>
                <w:rFonts w:asciiTheme="minorHAnsi" w:hAnsiTheme="minorHAnsi" w:cstheme="minorHAnsi"/>
                <w:bCs/>
                <w:i/>
                <w:sz w:val="16"/>
                <w:szCs w:val="16"/>
                <w:lang w:val="es-CO" w:eastAsia="es-CO"/>
              </w:rPr>
              <w:t>“En el último trimestre del año 2020 no se entregaron bienes de uso público en comodato o bajo la modalidad de contratos en concesión.</w:t>
            </w:r>
          </w:p>
          <w:p w14:paraId="041ABC78" w14:textId="375284E9" w:rsidR="00ED72C2" w:rsidRPr="00FB4F12" w:rsidRDefault="00A64017" w:rsidP="00A64017">
            <w:pPr>
              <w:rPr>
                <w:rFonts w:asciiTheme="minorHAnsi" w:hAnsiTheme="minorHAnsi" w:cstheme="minorHAnsi"/>
                <w:bCs/>
                <w:i/>
                <w:sz w:val="16"/>
                <w:szCs w:val="16"/>
                <w:lang w:val="es-CO" w:eastAsia="es-CO"/>
              </w:rPr>
            </w:pPr>
            <w:r w:rsidRPr="00A64017">
              <w:rPr>
                <w:rFonts w:asciiTheme="minorHAnsi" w:hAnsiTheme="minorHAnsi" w:cstheme="minorHAnsi"/>
                <w:bCs/>
                <w:i/>
                <w:sz w:val="16"/>
                <w:szCs w:val="16"/>
                <w:lang w:val="es-CO" w:eastAsia="es-CO"/>
              </w:rPr>
              <w:t xml:space="preserve">La información sobre los bienes en comodato que se encuentran de años anteriores se remitió vía mail al área de contabilidad y se atendieron las </w:t>
            </w:r>
            <w:r w:rsidR="00FB4F12">
              <w:rPr>
                <w:rFonts w:asciiTheme="minorHAnsi" w:hAnsiTheme="minorHAnsi" w:cstheme="minorHAnsi"/>
                <w:bCs/>
                <w:i/>
                <w:sz w:val="16"/>
                <w:szCs w:val="16"/>
                <w:lang w:val="es-CO" w:eastAsia="es-CO"/>
              </w:rPr>
              <w:t xml:space="preserve">inquietudes sobre los contratos </w:t>
            </w:r>
            <w:r w:rsidRPr="00A64017">
              <w:rPr>
                <w:rFonts w:asciiTheme="minorHAnsi" w:hAnsiTheme="minorHAnsi" w:cstheme="minorHAnsi"/>
                <w:bCs/>
                <w:i/>
                <w:sz w:val="16"/>
                <w:szCs w:val="16"/>
                <w:lang w:val="es-CO" w:eastAsia="es-CO"/>
              </w:rPr>
              <w:t>en concesión en ejecución (se anexa evidencia).”</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F10FA76" w14:textId="48740A8E" w:rsidR="00816F1F" w:rsidRPr="00FB4F12" w:rsidRDefault="00350388" w:rsidP="00350388">
            <w:pPr>
              <w:suppressAutoHyphens w:val="0"/>
              <w:autoSpaceDN/>
              <w:textAlignment w:val="auto"/>
              <w:rPr>
                <w:rFonts w:asciiTheme="minorHAnsi" w:hAnsiTheme="minorHAnsi" w:cstheme="minorHAnsi"/>
                <w:bCs/>
                <w:i/>
                <w:iCs/>
                <w:sz w:val="16"/>
                <w:szCs w:val="16"/>
                <w:lang w:val="es-CO" w:eastAsia="es-CO"/>
              </w:rPr>
            </w:pPr>
            <w:r w:rsidRPr="00350388">
              <w:rPr>
                <w:rFonts w:asciiTheme="minorHAnsi" w:hAnsiTheme="minorHAnsi" w:cstheme="minorHAnsi"/>
                <w:bCs/>
                <w:sz w:val="16"/>
                <w:szCs w:val="16"/>
                <w:lang w:val="es-CO" w:eastAsia="es-CO"/>
              </w:rPr>
              <w:t xml:space="preserve">Con base en la información remitida desde STP, </w:t>
            </w:r>
            <w:r w:rsidR="00816F1F" w:rsidRPr="00816F1F">
              <w:rPr>
                <w:rFonts w:asciiTheme="minorHAnsi" w:hAnsiTheme="minorHAnsi" w:cstheme="minorHAnsi"/>
                <w:bCs/>
                <w:i/>
                <w:iCs/>
                <w:sz w:val="16"/>
                <w:szCs w:val="16"/>
                <w:lang w:val="es-CO" w:eastAsia="es-CO"/>
              </w:rPr>
              <w:t>“e</w:t>
            </w:r>
            <w:r w:rsidRPr="00816F1F">
              <w:rPr>
                <w:rFonts w:asciiTheme="minorHAnsi" w:hAnsiTheme="minorHAnsi" w:cstheme="minorHAnsi"/>
                <w:bCs/>
                <w:i/>
                <w:iCs/>
                <w:sz w:val="16"/>
                <w:szCs w:val="16"/>
                <w:lang w:val="es-CO" w:eastAsia="es-CO"/>
              </w:rPr>
              <w:t>n el último trimestre del año 2020 no se entregaron bienes de uso público en comodato o bajo la modalidad de contratos en concesión.</w:t>
            </w:r>
            <w:r w:rsidR="00816F1F" w:rsidRPr="00816F1F">
              <w:rPr>
                <w:rFonts w:asciiTheme="minorHAnsi" w:hAnsiTheme="minorHAnsi" w:cstheme="minorHAnsi"/>
                <w:bCs/>
                <w:i/>
                <w:iCs/>
                <w:sz w:val="16"/>
                <w:szCs w:val="16"/>
                <w:lang w:val="es-CO" w:eastAsia="es-CO"/>
              </w:rPr>
              <w:t>”</w:t>
            </w:r>
          </w:p>
          <w:p w14:paraId="446914A1" w14:textId="77777777" w:rsidR="00816F1F" w:rsidRPr="00816F1F" w:rsidRDefault="00816F1F" w:rsidP="00350388">
            <w:pPr>
              <w:suppressAutoHyphens w:val="0"/>
              <w:autoSpaceDN/>
              <w:textAlignment w:val="auto"/>
              <w:rPr>
                <w:rFonts w:asciiTheme="minorHAnsi" w:hAnsiTheme="minorHAnsi" w:cstheme="minorHAnsi"/>
                <w:sz w:val="16"/>
                <w:szCs w:val="16"/>
                <w:lang w:val="es-CO" w:eastAsia="es-CO"/>
              </w:rPr>
            </w:pPr>
          </w:p>
          <w:p w14:paraId="243CCE78" w14:textId="26FD3325" w:rsidR="00816F1F" w:rsidRDefault="00816F1F" w:rsidP="00816F1F">
            <w:pPr>
              <w:suppressAutoHyphens w:val="0"/>
              <w:autoSpaceDN/>
              <w:textAlignment w:val="auto"/>
              <w:rPr>
                <w:rFonts w:asciiTheme="minorHAnsi" w:hAnsiTheme="minorHAnsi" w:cstheme="minorHAnsi"/>
                <w:sz w:val="16"/>
                <w:szCs w:val="16"/>
                <w:lang w:val="es-CO" w:eastAsia="es-CO"/>
              </w:rPr>
            </w:pPr>
            <w:r w:rsidRPr="00816F1F">
              <w:rPr>
                <w:rFonts w:asciiTheme="minorHAnsi" w:hAnsiTheme="minorHAnsi" w:cstheme="minorHAnsi"/>
                <w:sz w:val="16"/>
                <w:szCs w:val="16"/>
                <w:lang w:val="es-CO" w:eastAsia="es-CO"/>
              </w:rPr>
              <w:t xml:space="preserve">Igualmente, la actividad </w:t>
            </w:r>
            <w:r>
              <w:rPr>
                <w:rFonts w:asciiTheme="minorHAnsi" w:hAnsiTheme="minorHAnsi" w:cstheme="minorHAnsi"/>
                <w:sz w:val="16"/>
                <w:szCs w:val="16"/>
                <w:lang w:val="es-CO" w:eastAsia="es-CO"/>
              </w:rPr>
              <w:t xml:space="preserve">del PSC indica que la STP deberá presentar información relacionada con parques entregados en comodato y/o en concesión </w:t>
            </w:r>
            <w:r w:rsidRPr="00816F1F">
              <w:rPr>
                <w:rFonts w:asciiTheme="minorHAnsi" w:hAnsiTheme="minorHAnsi" w:cstheme="minorHAnsi"/>
                <w:i/>
                <w:iCs/>
                <w:sz w:val="16"/>
                <w:szCs w:val="16"/>
                <w:lang w:val="es-CO" w:eastAsia="es-CO"/>
              </w:rPr>
              <w:t>“Si esto ocurre”</w:t>
            </w:r>
            <w:r>
              <w:rPr>
                <w:rFonts w:asciiTheme="minorHAnsi" w:hAnsiTheme="minorHAnsi" w:cstheme="minorHAnsi"/>
                <w:sz w:val="16"/>
                <w:szCs w:val="16"/>
                <w:lang w:val="es-CO" w:eastAsia="es-CO"/>
              </w:rPr>
              <w:t xml:space="preserve">, e información relacionada con deterioro </w:t>
            </w:r>
            <w:r w:rsidRPr="00816F1F">
              <w:rPr>
                <w:rFonts w:asciiTheme="minorHAnsi" w:hAnsiTheme="minorHAnsi" w:cstheme="minorHAnsi"/>
                <w:i/>
                <w:iCs/>
                <w:sz w:val="16"/>
                <w:szCs w:val="16"/>
                <w:lang w:val="es-CO" w:eastAsia="es-CO"/>
              </w:rPr>
              <w:t>“en caso de que así sea”</w:t>
            </w:r>
            <w:r>
              <w:rPr>
                <w:rFonts w:asciiTheme="minorHAnsi" w:hAnsiTheme="minorHAnsi" w:cstheme="minorHAnsi"/>
                <w:sz w:val="16"/>
                <w:szCs w:val="16"/>
                <w:lang w:val="es-CO" w:eastAsia="es-CO"/>
              </w:rPr>
              <w:t>.</w:t>
            </w:r>
          </w:p>
          <w:p w14:paraId="3A42928E" w14:textId="5A9FD8F3" w:rsidR="00816F1F" w:rsidRDefault="00816F1F" w:rsidP="00816F1F">
            <w:pPr>
              <w:suppressAutoHyphens w:val="0"/>
              <w:autoSpaceDN/>
              <w:textAlignment w:val="auto"/>
              <w:rPr>
                <w:rFonts w:asciiTheme="minorHAnsi" w:hAnsiTheme="minorHAnsi" w:cstheme="minorHAnsi"/>
                <w:sz w:val="16"/>
                <w:szCs w:val="16"/>
                <w:lang w:val="es-CO" w:eastAsia="es-CO"/>
              </w:rPr>
            </w:pPr>
          </w:p>
          <w:p w14:paraId="4152B932" w14:textId="192DAC10" w:rsidR="00816F1F" w:rsidRDefault="00816F1F" w:rsidP="00816F1F">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Dado que para el último trimestre no se presentaron tales situaciones, no hubo presentación de los mencionados informes.</w:t>
            </w:r>
          </w:p>
          <w:p w14:paraId="082E9CDC" w14:textId="7F445C7D" w:rsidR="00816F1F" w:rsidRDefault="00816F1F" w:rsidP="00816F1F">
            <w:pPr>
              <w:suppressAutoHyphens w:val="0"/>
              <w:autoSpaceDN/>
              <w:textAlignment w:val="auto"/>
              <w:rPr>
                <w:rFonts w:asciiTheme="minorHAnsi" w:hAnsiTheme="minorHAnsi" w:cstheme="minorHAnsi"/>
                <w:sz w:val="16"/>
                <w:szCs w:val="16"/>
                <w:lang w:val="es-CO" w:eastAsia="es-CO"/>
              </w:rPr>
            </w:pPr>
          </w:p>
          <w:p w14:paraId="10BD0317" w14:textId="2B6CDBFC" w:rsidR="00816F1F" w:rsidRPr="00816F1F" w:rsidRDefault="00816F1F" w:rsidP="00816F1F">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Así las cosas, la STP ha dado cumplimiento a la actividad, en los términos en que ésta fue definida.</w:t>
            </w:r>
          </w:p>
        </w:tc>
      </w:tr>
      <w:tr w:rsidR="00BC5B37" w:rsidRPr="000B0F0A" w14:paraId="607D3E8E" w14:textId="77777777" w:rsidTr="0030216D">
        <w:trPr>
          <w:trHeight w:val="9874"/>
        </w:trPr>
        <w:tc>
          <w:tcPr>
            <w:tcW w:w="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CB92E" w14:textId="77777777" w:rsidR="00BC5B37" w:rsidRPr="000B0F0A" w:rsidRDefault="00BC5B37"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lastRenderedPageBreak/>
              <w:t>8</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9691112" w14:textId="77777777" w:rsidR="00BC5B37" w:rsidRPr="000B0F0A" w:rsidRDefault="00BC5B37"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Intangibles</w:t>
            </w:r>
          </w:p>
        </w:tc>
        <w:tc>
          <w:tcPr>
            <w:tcW w:w="3969" w:type="dxa"/>
            <w:tcBorders>
              <w:top w:val="single" w:sz="4" w:space="0" w:color="auto"/>
              <w:left w:val="nil"/>
              <w:bottom w:val="single" w:sz="4" w:space="0" w:color="auto"/>
              <w:right w:val="single" w:sz="4" w:space="0" w:color="auto"/>
            </w:tcBorders>
            <w:shd w:val="clear" w:color="auto" w:fill="auto"/>
            <w:hideMark/>
          </w:tcPr>
          <w:p w14:paraId="4EC0C704" w14:textId="42273D43" w:rsidR="00BC5B37" w:rsidRPr="000B0F0A" w:rsidRDefault="00BC5B37" w:rsidP="00ED72C2">
            <w:pPr>
              <w:suppressAutoHyphens w:val="0"/>
              <w:autoSpaceDN/>
              <w:spacing w:after="240"/>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Remitir mensualmente al área de Contabilidad el formato de conciliación, de los saldos del inventario del almacén de los bienes intangibles con  los siguientes soportes:</w:t>
            </w:r>
            <w:r w:rsidRPr="000B0F0A">
              <w:rPr>
                <w:rFonts w:asciiTheme="minorHAnsi" w:hAnsiTheme="minorHAnsi" w:cstheme="minorHAnsi"/>
                <w:sz w:val="16"/>
                <w:szCs w:val="16"/>
                <w:lang w:val="es-CO" w:eastAsia="es-CO"/>
              </w:rPr>
              <w:br/>
              <w:t>a) Informe Inventario de bienes en servicio por dependencia  donde se evidencie el valor en libros, la amortización acumulada, las pérdidas por deterioro acumuladas si esto ocurre, especificando la ubicación (nuevo, usados o en servicio).</w:t>
            </w:r>
            <w:r w:rsidRPr="000B0F0A">
              <w:rPr>
                <w:rFonts w:asciiTheme="minorHAnsi" w:hAnsiTheme="minorHAnsi" w:cstheme="minorHAnsi"/>
                <w:sz w:val="16"/>
                <w:szCs w:val="16"/>
                <w:lang w:val="es-CO" w:eastAsia="es-CO"/>
              </w:rPr>
              <w:br/>
              <w:t>b) Detalle de los bienes intangibles dados de baja mediante acto administrativo, cuando esto ocurra.</w:t>
            </w:r>
            <w:r w:rsidRPr="000B0F0A">
              <w:rPr>
                <w:rFonts w:asciiTheme="minorHAnsi" w:hAnsiTheme="minorHAnsi" w:cstheme="minorHAnsi"/>
                <w:sz w:val="16"/>
                <w:szCs w:val="16"/>
                <w:lang w:val="es-CO" w:eastAsia="es-CO"/>
              </w:rPr>
              <w:br/>
              <w:t>c) Informe detallado de los activos intangibles, adquiridas en una transacción sin contraprestación, indicando monto y tercero, cuando esto ocurra.</w:t>
            </w:r>
            <w:r w:rsidRPr="000B0F0A">
              <w:rPr>
                <w:rFonts w:asciiTheme="minorHAnsi" w:hAnsiTheme="minorHAnsi" w:cstheme="minorHAnsi"/>
                <w:sz w:val="16"/>
                <w:szCs w:val="16"/>
                <w:lang w:val="es-CO" w:eastAsia="es-CO"/>
              </w:rPr>
              <w:br/>
              <w:t>d)  Informe de los contratos de comodato de los bienes entregados y recibidos, detallando objeto, tercero, valor, vigencia y descripción del bien, cuando esto ocurra.</w:t>
            </w:r>
            <w:r w:rsidRPr="000B0F0A">
              <w:rPr>
                <w:rFonts w:asciiTheme="minorHAnsi" w:hAnsiTheme="minorHAnsi" w:cstheme="minorHAnsi"/>
                <w:sz w:val="16"/>
                <w:szCs w:val="16"/>
                <w:lang w:val="es-CO" w:eastAsia="es-CO"/>
              </w:rPr>
              <w:br/>
              <w:t>2. El área de contabilidad realiza la conciliación mensual, con el reporte de saldos de la cuenta 1970,  y  los ajustes correspondientes en caso de ser necesario, previa coordinación con la persona encargada en Almacén.</w:t>
            </w:r>
            <w:r w:rsidRPr="000B0F0A">
              <w:rPr>
                <w:rFonts w:asciiTheme="minorHAnsi" w:hAnsiTheme="minorHAnsi" w:cstheme="minorHAnsi"/>
                <w:sz w:val="16"/>
                <w:szCs w:val="16"/>
                <w:lang w:val="es-CO" w:eastAsia="es-CO"/>
              </w:rPr>
              <w:br/>
              <w:t>3. El área de contabilidad envía copia de la conciliación al Almacén general para su revisión final y firma en caso de aprobación.</w:t>
            </w:r>
            <w:r w:rsidRPr="000B0F0A">
              <w:rPr>
                <w:rFonts w:asciiTheme="minorHAnsi" w:hAnsiTheme="minorHAnsi" w:cstheme="minorHAnsi"/>
                <w:sz w:val="16"/>
                <w:szCs w:val="16"/>
                <w:lang w:val="es-CO" w:eastAsia="es-CO"/>
              </w:rPr>
              <w:br/>
              <w:t>4. El Almacén enviará copia de la conciliación a Contabilidad, con las correspondientes firmas para ser archivada.</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b/>
                <w:bCs/>
                <w:sz w:val="16"/>
                <w:szCs w:val="16"/>
                <w:lang w:val="es-CO" w:eastAsia="es-CO"/>
              </w:rPr>
              <w:t>Informe para revelaciones:</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  Informe del valor en libros  y la amortización acumulada, incluyendo las pérdidas por deterioro del valor acumuladas si esto ocurre, al principio y final del periodo contable.</w:t>
            </w:r>
            <w:r w:rsidRPr="000B0F0A">
              <w:rPr>
                <w:rFonts w:asciiTheme="minorHAnsi" w:hAnsiTheme="minorHAnsi" w:cstheme="minorHAnsi"/>
                <w:sz w:val="16"/>
                <w:szCs w:val="16"/>
                <w:lang w:val="es-CO" w:eastAsia="es-CO"/>
              </w:rPr>
              <w:br/>
              <w:t>- El valor de la amortización de los activos intangibles reconocida en el resultado durante el periodo.</w:t>
            </w:r>
            <w:r w:rsidRPr="000B0F0A">
              <w:rPr>
                <w:rFonts w:asciiTheme="minorHAnsi" w:hAnsiTheme="minorHAnsi" w:cstheme="minorHAnsi"/>
                <w:sz w:val="16"/>
                <w:szCs w:val="16"/>
                <w:lang w:val="es-CO" w:eastAsia="es-CO"/>
              </w:rPr>
              <w:br/>
              <w:t>- Una conciliación entre los valores en libros al principio y al final del periodo contable que muestre por separado lo siguiente: adiciones realizadas, disposiciones o ventas, adquisiciones, amortización, pérdidas por deterioro del valor y otros cambios, si esto ocurre.</w:t>
            </w:r>
            <w:r w:rsidRPr="000B0F0A">
              <w:rPr>
                <w:rFonts w:asciiTheme="minorHAnsi" w:hAnsiTheme="minorHAnsi" w:cstheme="minorHAnsi"/>
                <w:sz w:val="16"/>
                <w:szCs w:val="16"/>
                <w:lang w:val="es-CO" w:eastAsia="es-CO"/>
              </w:rPr>
              <w:br/>
              <w:t>- El valor por el que se hayan reconocido inicialmente los activos intangibles adquiridos en una transacción sin contraprestación.</w:t>
            </w:r>
            <w:r w:rsidRPr="000B0F0A">
              <w:rPr>
                <w:rFonts w:asciiTheme="minorHAnsi" w:hAnsiTheme="minorHAnsi" w:cstheme="minorHAnsi"/>
                <w:sz w:val="16"/>
                <w:szCs w:val="16"/>
                <w:lang w:val="es-CO" w:eastAsia="es-CO"/>
              </w:rPr>
              <w:br/>
              <w:t>-  La descripción, valor en libros y periodo de amortización restante de cualquier activo intangible individual que sea significativo para los estados financieros de la entidad.</w:t>
            </w:r>
            <w:r w:rsidRPr="000B0F0A">
              <w:rPr>
                <w:rFonts w:asciiTheme="minorHAnsi" w:hAnsiTheme="minorHAnsi" w:cstheme="minorHAnsi"/>
                <w:sz w:val="16"/>
                <w:szCs w:val="16"/>
                <w:lang w:val="es-CO" w:eastAsia="es-CO"/>
              </w:rPr>
              <w:br/>
              <w:t xml:space="preserve">- El valor de los desembolsos para investigación y desarrollo que se hayan reconocido como gasto durante el periodo, si esto ocurre. </w:t>
            </w:r>
            <w:r w:rsidRPr="000B0F0A">
              <w:rPr>
                <w:rFonts w:asciiTheme="minorHAnsi" w:hAnsiTheme="minorHAnsi" w:cstheme="minorHAnsi"/>
                <w:sz w:val="16"/>
                <w:szCs w:val="16"/>
                <w:lang w:val="es-CO" w:eastAsia="es-CO"/>
              </w:rPr>
              <w:br/>
              <w:t>- Guía de deterioro para bienes no gene</w:t>
            </w:r>
            <w:r>
              <w:rPr>
                <w:rFonts w:asciiTheme="minorHAnsi" w:hAnsiTheme="minorHAnsi" w:cstheme="minorHAnsi"/>
                <w:sz w:val="16"/>
                <w:szCs w:val="16"/>
                <w:lang w:val="es-CO" w:eastAsia="es-CO"/>
              </w:rPr>
              <w:t>radores de efectivo de la SDH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49FB872" w14:textId="77777777" w:rsidR="00BC5B37" w:rsidRPr="000B0F0A" w:rsidRDefault="00BC5B37" w:rsidP="00ED72C2">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b/>
                <w:bCs/>
                <w:color w:val="000000"/>
                <w:sz w:val="16"/>
                <w:szCs w:val="16"/>
                <w:lang w:val="es-CO" w:eastAsia="es-CO"/>
              </w:rPr>
              <w:t>12.7.2 Activos Intangibles - Reconocimiento:</w:t>
            </w:r>
            <w:r w:rsidRPr="000B0F0A">
              <w:rPr>
                <w:rFonts w:asciiTheme="minorHAnsi" w:hAnsiTheme="minorHAnsi" w:cstheme="minorHAnsi"/>
                <w:color w:val="000000"/>
                <w:sz w:val="16"/>
                <w:szCs w:val="16"/>
                <w:lang w:val="es-CO" w:eastAsia="es-CO"/>
              </w:rPr>
              <w:t xml:space="preserve"> </w:t>
            </w:r>
            <w:r w:rsidRPr="000B0F0A">
              <w:rPr>
                <w:rFonts w:asciiTheme="minorHAnsi" w:hAnsiTheme="minorHAnsi" w:cstheme="minorHAnsi"/>
                <w:i/>
                <w:iCs/>
                <w:color w:val="000000"/>
                <w:sz w:val="16"/>
                <w:szCs w:val="16"/>
                <w:lang w:val="es-CO" w:eastAsia="es-CO"/>
              </w:rPr>
              <w:t>"...Estos activos, representan el valor de recursos identificables, de carácter no monetario y sin apariencia física, sobre los cuales la entidad tiene el control, espera obtener beneficios económicos futuros o potencial de servicio, puede realizar mediciones fiables, además, los mismos no deben estar disponibles para la venta y se prevé usarlos durante más de un periodo contable."</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b/>
                <w:bCs/>
                <w:i/>
                <w:iCs/>
                <w:color w:val="000000"/>
                <w:sz w:val="16"/>
                <w:szCs w:val="16"/>
                <w:lang w:val="es-CO" w:eastAsia="es-CO"/>
              </w:rPr>
              <w:t>12.7.4.4 Deterioro</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t xml:space="preserve">a. Para el caso de los activos intangibles con vida útil indefinida y de aquellos activos intangibles que aún no estén disponibles para su uso, la entidad comprobará anualmente si el activo intangible se ha deteriorado, independientemente de que no existan indicios de deterioro de su valor. </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t>b. Para el caso de los activos intangibles con vida útil finita la evaluación de los indicios de deterioro procederá para los activos intangibles adquiridos o recibidos en una transacción con o sin contraprestación, así como los desembolsos en que se incurra durante la fase de desarrollo de un intangible generado internamente y las adiciones y mejoras que se realicen al mismo, cuyo valor sea igual o superior a treinta y cinco (35) SMMLV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73DF02" w14:textId="02B73E5C" w:rsidR="00BC5B37" w:rsidRPr="000B0F0A" w:rsidRDefault="00BC5B37" w:rsidP="00BC5B37">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Almacén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E3F114B" w14:textId="77777777" w:rsidR="00BC5B37" w:rsidRPr="000B0F0A" w:rsidRDefault="00BC5B37"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Mensualmente</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Anualmente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871B40" w14:textId="522BBE00" w:rsidR="00BC5B37" w:rsidRPr="000B0F0A" w:rsidRDefault="00BC5B37" w:rsidP="00ED72C2">
            <w:pPr>
              <w:suppressAutoHyphens w:val="0"/>
              <w:autoSpaceDN/>
              <w:jc w:val="center"/>
              <w:textAlignment w:val="auto"/>
              <w:rPr>
                <w:rFonts w:asciiTheme="minorHAnsi" w:hAnsiTheme="minorHAnsi" w:cstheme="minorHAnsi"/>
                <w:sz w:val="16"/>
                <w:szCs w:val="16"/>
                <w:lang w:val="es-CO" w:eastAsia="es-CO"/>
              </w:rPr>
            </w:pPr>
            <w:r w:rsidRPr="00B84271">
              <w:rPr>
                <w:rFonts w:asciiTheme="minorHAnsi" w:hAnsiTheme="minorHAnsi" w:cstheme="minorHAnsi"/>
                <w:sz w:val="16"/>
                <w:szCs w:val="16"/>
                <w:lang w:val="es-CO" w:eastAsia="es-CO"/>
              </w:rPr>
              <w:t>20214000124603</w:t>
            </w:r>
          </w:p>
        </w:tc>
        <w:tc>
          <w:tcPr>
            <w:tcW w:w="993" w:type="dxa"/>
            <w:tcBorders>
              <w:top w:val="single" w:sz="4" w:space="0" w:color="auto"/>
              <w:left w:val="nil"/>
              <w:bottom w:val="single" w:sz="4" w:space="0" w:color="auto"/>
              <w:right w:val="single" w:sz="4" w:space="0" w:color="auto"/>
            </w:tcBorders>
            <w:shd w:val="clear" w:color="auto" w:fill="92D050"/>
            <w:vAlign w:val="center"/>
            <w:hideMark/>
          </w:tcPr>
          <w:p w14:paraId="722B402A" w14:textId="77777777" w:rsidR="00141C9E" w:rsidRDefault="00141C9E" w:rsidP="00141C9E">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SÍ</w:t>
            </w:r>
          </w:p>
          <w:p w14:paraId="6E2D3825" w14:textId="3C08AEEA" w:rsidR="00BC5B37" w:rsidRPr="000B0F0A" w:rsidRDefault="00141C9E" w:rsidP="00141C9E">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r w:rsidR="00BC5B37" w:rsidRPr="000B0F0A">
              <w:rPr>
                <w:rFonts w:asciiTheme="minorHAnsi" w:hAnsiTheme="minorHAnsi" w:cstheme="minorHAnsi"/>
                <w:sz w:val="16"/>
                <w:szCs w:val="16"/>
                <w:lang w:val="es-CO" w:eastAsia="es-CO"/>
              </w:rPr>
              <w:t> </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57CFD1BC" w14:textId="0402321C" w:rsidR="00BC5B37" w:rsidRPr="00BC5B37" w:rsidRDefault="00BC5B37" w:rsidP="007C4117">
            <w:pPr>
              <w:suppressAutoHyphens w:val="0"/>
              <w:autoSpaceDN/>
              <w:textAlignment w:val="auto"/>
              <w:rPr>
                <w:rFonts w:asciiTheme="minorHAnsi" w:hAnsiTheme="minorHAnsi" w:cstheme="minorHAnsi"/>
                <w:sz w:val="16"/>
                <w:szCs w:val="16"/>
                <w:lang w:val="es-CO" w:eastAsia="es-CO"/>
              </w:rPr>
            </w:pPr>
            <w:r w:rsidRPr="00BC5B37">
              <w:rPr>
                <w:rFonts w:asciiTheme="minorHAnsi" w:hAnsiTheme="minorHAnsi" w:cstheme="minorHAnsi"/>
                <w:sz w:val="16"/>
                <w:szCs w:val="16"/>
                <w:lang w:val="es-CO" w:eastAsia="es-CO"/>
              </w:rPr>
              <w:t> </w:t>
            </w:r>
            <w:r>
              <w:rPr>
                <w:rFonts w:asciiTheme="minorHAnsi" w:hAnsiTheme="minorHAnsi" w:cstheme="minorHAnsi"/>
                <w:sz w:val="16"/>
                <w:szCs w:val="16"/>
                <w:lang w:val="es-CO" w:eastAsia="es-CO"/>
              </w:rPr>
              <w:t xml:space="preserve">La SAF informa que </w:t>
            </w:r>
            <w:r w:rsidRPr="00BC5B37">
              <w:rPr>
                <w:rFonts w:asciiTheme="minorHAnsi" w:hAnsiTheme="minorHAnsi" w:cstheme="minorHAnsi"/>
                <w:i/>
                <w:iCs/>
                <w:sz w:val="16"/>
                <w:szCs w:val="16"/>
                <w:lang w:val="es-CO" w:eastAsia="es-CO"/>
              </w:rPr>
              <w:t>“...se adjunta Acta de cierre y conciliación de Almacén General Activos Fijos, suscrito entre las áreas de Almacén General y Contabilidad a febrero de 2021. Así mismo, se remite el balance la cuenta de intangibles, en archivo en formato Excel”</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E28C6FF" w14:textId="6F80669D" w:rsidR="00BC5B37" w:rsidRPr="00C85B6C" w:rsidRDefault="00BC5B37" w:rsidP="00C85B6C">
            <w:pPr>
              <w:suppressAutoHyphens w:val="0"/>
              <w:autoSpaceDN/>
              <w:textAlignment w:val="auto"/>
              <w:rPr>
                <w:rFonts w:asciiTheme="minorHAnsi" w:hAnsiTheme="minorHAnsi" w:cstheme="minorHAnsi"/>
                <w:b/>
                <w:bCs/>
                <w:sz w:val="16"/>
                <w:szCs w:val="16"/>
                <w:lang w:val="es-CO" w:eastAsia="es-CO"/>
              </w:rPr>
            </w:pPr>
            <w:r w:rsidRPr="000B0F0A">
              <w:rPr>
                <w:rFonts w:asciiTheme="minorHAnsi" w:hAnsiTheme="minorHAnsi" w:cstheme="minorHAnsi"/>
                <w:b/>
                <w:bCs/>
                <w:sz w:val="16"/>
                <w:szCs w:val="16"/>
                <w:lang w:val="es-CO" w:eastAsia="es-CO"/>
              </w:rPr>
              <w:t> </w:t>
            </w:r>
            <w:r w:rsidR="00C85B6C">
              <w:rPr>
                <w:rFonts w:asciiTheme="minorHAnsi" w:hAnsiTheme="minorHAnsi" w:cstheme="minorHAnsi"/>
                <w:b/>
                <w:bCs/>
                <w:sz w:val="16"/>
                <w:szCs w:val="16"/>
                <w:lang w:val="es-CO" w:eastAsia="es-CO"/>
              </w:rPr>
              <w:t xml:space="preserve">ELABORACIÓN CONCILIACIÓN: </w:t>
            </w:r>
            <w:r w:rsidRPr="00BC5B37">
              <w:rPr>
                <w:rFonts w:asciiTheme="minorHAnsi" w:hAnsiTheme="minorHAnsi" w:cstheme="minorHAnsi"/>
                <w:sz w:val="16"/>
                <w:szCs w:val="16"/>
                <w:lang w:val="es-CO" w:eastAsia="es-CO"/>
              </w:rPr>
              <w:t xml:space="preserve">Con base en la respuesta remitida desde Almacén, se evidenció que </w:t>
            </w:r>
            <w:r>
              <w:rPr>
                <w:rFonts w:asciiTheme="minorHAnsi" w:hAnsiTheme="minorHAnsi" w:cstheme="minorHAnsi"/>
                <w:sz w:val="16"/>
                <w:szCs w:val="16"/>
                <w:lang w:val="es-CO" w:eastAsia="es-CO"/>
              </w:rPr>
              <w:t>se realiza la conciliación entre almacén y contabilidad, la cual se firma por representantes de las dos dependencias, dando cumplimiento a la actividad definida en el PSC.</w:t>
            </w:r>
          </w:p>
          <w:p w14:paraId="55BE6327" w14:textId="77777777" w:rsidR="00BC5B37" w:rsidRDefault="00BC5B37" w:rsidP="00C85B6C">
            <w:pPr>
              <w:suppressAutoHyphens w:val="0"/>
              <w:autoSpaceDN/>
              <w:textAlignment w:val="auto"/>
              <w:rPr>
                <w:rFonts w:asciiTheme="minorHAnsi" w:hAnsiTheme="minorHAnsi" w:cstheme="minorHAnsi"/>
                <w:sz w:val="16"/>
                <w:szCs w:val="16"/>
                <w:lang w:val="es-CO" w:eastAsia="es-CO"/>
              </w:rPr>
            </w:pPr>
          </w:p>
          <w:p w14:paraId="15B9A5A7" w14:textId="48BF2D3F" w:rsidR="00BC5B37" w:rsidRDefault="00C85B6C" w:rsidP="00C85B6C">
            <w:pPr>
              <w:suppressAutoHyphens w:val="0"/>
              <w:autoSpaceDN/>
              <w:textAlignment w:val="auto"/>
              <w:rPr>
                <w:rFonts w:asciiTheme="minorHAnsi" w:hAnsiTheme="minorHAnsi" w:cstheme="minorHAnsi"/>
                <w:sz w:val="16"/>
                <w:szCs w:val="16"/>
                <w:lang w:val="es-CO" w:eastAsia="es-CO"/>
              </w:rPr>
            </w:pPr>
            <w:r w:rsidRPr="00C85B6C">
              <w:rPr>
                <w:rFonts w:asciiTheme="minorHAnsi" w:hAnsiTheme="minorHAnsi" w:cstheme="minorHAnsi"/>
                <w:b/>
                <w:sz w:val="16"/>
                <w:szCs w:val="16"/>
                <w:lang w:val="es-CO" w:eastAsia="es-CO"/>
              </w:rPr>
              <w:t>INFORME PARA REVELACIONES</w:t>
            </w:r>
            <w:r>
              <w:rPr>
                <w:rFonts w:asciiTheme="minorHAnsi" w:hAnsiTheme="minorHAnsi" w:cstheme="minorHAnsi"/>
                <w:sz w:val="16"/>
                <w:szCs w:val="16"/>
                <w:lang w:val="es-CO" w:eastAsia="es-CO"/>
              </w:rPr>
              <w:t xml:space="preserve">: </w:t>
            </w:r>
            <w:r w:rsidR="00BC5B37">
              <w:rPr>
                <w:rFonts w:asciiTheme="minorHAnsi" w:hAnsiTheme="minorHAnsi" w:cstheme="minorHAnsi"/>
                <w:sz w:val="16"/>
                <w:szCs w:val="16"/>
                <w:lang w:val="es-CO" w:eastAsia="es-CO"/>
              </w:rPr>
              <w:t xml:space="preserve">Revisadas las revelaciones se evidenció que </w:t>
            </w:r>
            <w:r w:rsidR="000837DD">
              <w:rPr>
                <w:rFonts w:asciiTheme="minorHAnsi" w:hAnsiTheme="minorHAnsi" w:cstheme="minorHAnsi"/>
                <w:sz w:val="16"/>
                <w:szCs w:val="16"/>
                <w:lang w:val="es-CO" w:eastAsia="es-CO"/>
              </w:rPr>
              <w:t xml:space="preserve">éstas indican que </w:t>
            </w:r>
            <w:r w:rsidR="00BC5B37">
              <w:rPr>
                <w:rFonts w:asciiTheme="minorHAnsi" w:hAnsiTheme="minorHAnsi" w:cstheme="minorHAnsi"/>
                <w:sz w:val="16"/>
                <w:szCs w:val="16"/>
                <w:lang w:val="es-CO" w:eastAsia="es-CO"/>
              </w:rPr>
              <w:t>no se presentaron ingresos</w:t>
            </w:r>
            <w:r w:rsidR="000837DD">
              <w:rPr>
                <w:rFonts w:asciiTheme="minorHAnsi" w:hAnsiTheme="minorHAnsi" w:cstheme="minorHAnsi"/>
                <w:sz w:val="16"/>
                <w:szCs w:val="16"/>
                <w:lang w:val="es-CO" w:eastAsia="es-CO"/>
              </w:rPr>
              <w:t xml:space="preserve"> (por adquisición ni por desarrollo propio) ni salidas de intangibles, que no se evidenciaron deterioros y que se consideran bienes con vida útil indefinida.</w:t>
            </w:r>
          </w:p>
          <w:p w14:paraId="4DBF3088" w14:textId="77777777" w:rsidR="000837DD" w:rsidRDefault="000837DD" w:rsidP="00C85B6C">
            <w:pPr>
              <w:suppressAutoHyphens w:val="0"/>
              <w:autoSpaceDN/>
              <w:textAlignment w:val="auto"/>
              <w:rPr>
                <w:rFonts w:asciiTheme="minorHAnsi" w:hAnsiTheme="minorHAnsi" w:cstheme="minorHAnsi"/>
                <w:sz w:val="16"/>
                <w:szCs w:val="16"/>
                <w:lang w:val="es-CO" w:eastAsia="es-CO"/>
              </w:rPr>
            </w:pPr>
          </w:p>
          <w:p w14:paraId="5AAE0185" w14:textId="056E0552" w:rsidR="000837DD" w:rsidRPr="000B0F0A" w:rsidRDefault="000837DD" w:rsidP="00C85B6C">
            <w:pPr>
              <w:suppressAutoHyphens w:val="0"/>
              <w:autoSpaceDN/>
              <w:textAlignment w:val="auto"/>
              <w:rPr>
                <w:rFonts w:asciiTheme="minorHAnsi" w:hAnsiTheme="minorHAnsi" w:cstheme="minorHAnsi"/>
                <w:b/>
                <w:bCs/>
                <w:sz w:val="16"/>
                <w:szCs w:val="16"/>
                <w:lang w:val="es-CO" w:eastAsia="es-CO"/>
              </w:rPr>
            </w:pPr>
            <w:r>
              <w:rPr>
                <w:rFonts w:asciiTheme="minorHAnsi" w:hAnsiTheme="minorHAnsi" w:cstheme="minorHAnsi"/>
                <w:sz w:val="16"/>
                <w:szCs w:val="16"/>
                <w:lang w:val="es-CO" w:eastAsia="es-CO"/>
              </w:rPr>
              <w:t xml:space="preserve">Con base en lo expuesto, se deduce que se está dando cumplimiento a la actividad definida en el PSC </w:t>
            </w:r>
          </w:p>
        </w:tc>
      </w:tr>
      <w:tr w:rsidR="0030216D" w:rsidRPr="000B0F0A" w14:paraId="442B1ADF" w14:textId="77777777" w:rsidTr="0030216D">
        <w:tc>
          <w:tcPr>
            <w:tcW w:w="317" w:type="dxa"/>
            <w:tcBorders>
              <w:top w:val="single" w:sz="4" w:space="0" w:color="auto"/>
              <w:left w:val="single" w:sz="4" w:space="0" w:color="FFFFFF" w:themeColor="background1"/>
              <w:right w:val="single" w:sz="4" w:space="0" w:color="FFFFFF" w:themeColor="background1"/>
            </w:tcBorders>
            <w:shd w:val="clear" w:color="auto" w:fill="auto"/>
            <w:vAlign w:val="center"/>
          </w:tcPr>
          <w:p w14:paraId="14B261D1" w14:textId="77777777" w:rsidR="0030216D" w:rsidRPr="000B0F0A" w:rsidRDefault="0030216D" w:rsidP="00ED72C2">
            <w:pPr>
              <w:jc w:val="center"/>
              <w:rPr>
                <w:rFonts w:asciiTheme="minorHAnsi" w:hAnsiTheme="minorHAnsi" w:cstheme="minorHAnsi"/>
                <w:sz w:val="16"/>
                <w:szCs w:val="16"/>
                <w:lang w:val="es-CO" w:eastAsia="es-CO"/>
              </w:rPr>
            </w:pPr>
          </w:p>
        </w:tc>
        <w:tc>
          <w:tcPr>
            <w:tcW w:w="954" w:type="dxa"/>
            <w:tcBorders>
              <w:top w:val="single" w:sz="4" w:space="0" w:color="auto"/>
              <w:left w:val="single" w:sz="4" w:space="0" w:color="FFFFFF" w:themeColor="background1"/>
              <w:right w:val="single" w:sz="4" w:space="0" w:color="FFFFFF" w:themeColor="background1"/>
            </w:tcBorders>
            <w:shd w:val="clear" w:color="auto" w:fill="auto"/>
            <w:vAlign w:val="center"/>
          </w:tcPr>
          <w:p w14:paraId="1A5F42B4" w14:textId="77777777" w:rsidR="0030216D" w:rsidRPr="000B0F0A" w:rsidRDefault="0030216D" w:rsidP="00ED72C2">
            <w:pPr>
              <w:jc w:val="center"/>
              <w:rPr>
                <w:rFonts w:asciiTheme="minorHAnsi" w:hAnsiTheme="minorHAnsi" w:cstheme="minorHAnsi"/>
                <w:sz w:val="16"/>
                <w:szCs w:val="16"/>
                <w:lang w:val="es-CO" w:eastAsia="es-CO"/>
              </w:rPr>
            </w:pPr>
          </w:p>
        </w:tc>
        <w:tc>
          <w:tcPr>
            <w:tcW w:w="3969" w:type="dxa"/>
            <w:tcBorders>
              <w:top w:val="single" w:sz="4" w:space="0" w:color="auto"/>
              <w:left w:val="single" w:sz="4" w:space="0" w:color="FFFFFF" w:themeColor="background1"/>
              <w:right w:val="single" w:sz="4" w:space="0" w:color="FFFFFF" w:themeColor="background1"/>
            </w:tcBorders>
            <w:shd w:val="clear" w:color="auto" w:fill="auto"/>
          </w:tcPr>
          <w:p w14:paraId="538EBA92" w14:textId="77777777" w:rsidR="0030216D" w:rsidRPr="000B0F0A" w:rsidRDefault="0030216D" w:rsidP="00ED72C2">
            <w:pPr>
              <w:spacing w:after="240"/>
              <w:rPr>
                <w:rFonts w:asciiTheme="minorHAnsi" w:hAnsiTheme="minorHAnsi" w:cstheme="minorHAnsi"/>
                <w:sz w:val="16"/>
                <w:szCs w:val="16"/>
                <w:lang w:val="es-CO" w:eastAsia="es-CO"/>
              </w:rPr>
            </w:pPr>
          </w:p>
        </w:tc>
        <w:tc>
          <w:tcPr>
            <w:tcW w:w="3544" w:type="dxa"/>
            <w:tcBorders>
              <w:top w:val="single" w:sz="4" w:space="0" w:color="auto"/>
              <w:left w:val="single" w:sz="4" w:space="0" w:color="FFFFFF" w:themeColor="background1"/>
              <w:right w:val="single" w:sz="4" w:space="0" w:color="FFFFFF" w:themeColor="background1"/>
            </w:tcBorders>
            <w:shd w:val="clear" w:color="auto" w:fill="auto"/>
            <w:vAlign w:val="center"/>
          </w:tcPr>
          <w:p w14:paraId="2598624F" w14:textId="77777777" w:rsidR="0030216D" w:rsidRPr="000B0F0A" w:rsidRDefault="0030216D" w:rsidP="00ED72C2">
            <w:pPr>
              <w:rPr>
                <w:rFonts w:asciiTheme="minorHAnsi" w:hAnsiTheme="minorHAnsi" w:cstheme="minorHAnsi"/>
                <w:b/>
                <w:bCs/>
                <w:color w:val="000000"/>
                <w:sz w:val="16"/>
                <w:szCs w:val="16"/>
                <w:lang w:val="es-CO" w:eastAsia="es-CO"/>
              </w:rPr>
            </w:pPr>
          </w:p>
        </w:tc>
        <w:tc>
          <w:tcPr>
            <w:tcW w:w="1276" w:type="dxa"/>
            <w:tcBorders>
              <w:top w:val="single" w:sz="4" w:space="0" w:color="auto"/>
              <w:left w:val="single" w:sz="4" w:space="0" w:color="FFFFFF" w:themeColor="background1"/>
              <w:right w:val="single" w:sz="4" w:space="0" w:color="FFFFFF" w:themeColor="background1"/>
            </w:tcBorders>
            <w:shd w:val="clear" w:color="auto" w:fill="auto"/>
            <w:vAlign w:val="center"/>
          </w:tcPr>
          <w:p w14:paraId="6200406C" w14:textId="77777777" w:rsidR="0030216D" w:rsidRDefault="0030216D" w:rsidP="00BC5B37">
            <w:pPr>
              <w:jc w:val="center"/>
              <w:rPr>
                <w:rFonts w:asciiTheme="minorHAnsi" w:hAnsiTheme="minorHAnsi" w:cstheme="minorHAnsi"/>
                <w:sz w:val="16"/>
                <w:szCs w:val="16"/>
                <w:lang w:val="es-CO" w:eastAsia="es-CO"/>
              </w:rPr>
            </w:pPr>
          </w:p>
        </w:tc>
        <w:tc>
          <w:tcPr>
            <w:tcW w:w="1984" w:type="dxa"/>
            <w:tcBorders>
              <w:top w:val="single" w:sz="4" w:space="0" w:color="auto"/>
              <w:left w:val="single" w:sz="4" w:space="0" w:color="FFFFFF" w:themeColor="background1"/>
              <w:right w:val="single" w:sz="4" w:space="0" w:color="FFFFFF" w:themeColor="background1"/>
            </w:tcBorders>
            <w:shd w:val="clear" w:color="auto" w:fill="auto"/>
            <w:vAlign w:val="center"/>
          </w:tcPr>
          <w:p w14:paraId="3EB45344" w14:textId="77777777" w:rsidR="0030216D" w:rsidRPr="000B0F0A" w:rsidRDefault="0030216D" w:rsidP="00ED72C2">
            <w:pPr>
              <w:jc w:val="center"/>
              <w:rPr>
                <w:rFonts w:asciiTheme="minorHAnsi" w:hAnsiTheme="minorHAnsi" w:cstheme="minorHAnsi"/>
                <w:sz w:val="16"/>
                <w:szCs w:val="16"/>
                <w:lang w:val="es-CO" w:eastAsia="es-CO"/>
              </w:rPr>
            </w:pPr>
          </w:p>
        </w:tc>
        <w:tc>
          <w:tcPr>
            <w:tcW w:w="1559" w:type="dxa"/>
            <w:tcBorders>
              <w:top w:val="single" w:sz="4" w:space="0" w:color="auto"/>
              <w:left w:val="single" w:sz="4" w:space="0" w:color="FFFFFF" w:themeColor="background1"/>
              <w:right w:val="single" w:sz="4" w:space="0" w:color="FFFFFF" w:themeColor="background1"/>
            </w:tcBorders>
            <w:shd w:val="clear" w:color="auto" w:fill="auto"/>
            <w:vAlign w:val="center"/>
          </w:tcPr>
          <w:p w14:paraId="26EB1DFD" w14:textId="77777777" w:rsidR="0030216D" w:rsidRPr="00B84271" w:rsidRDefault="0030216D" w:rsidP="00ED72C2">
            <w:pPr>
              <w:jc w:val="center"/>
              <w:rPr>
                <w:rFonts w:asciiTheme="minorHAnsi" w:hAnsiTheme="minorHAnsi" w:cstheme="minorHAnsi"/>
                <w:sz w:val="16"/>
                <w:szCs w:val="16"/>
                <w:lang w:val="es-CO" w:eastAsia="es-CO"/>
              </w:rPr>
            </w:pPr>
          </w:p>
        </w:tc>
        <w:tc>
          <w:tcPr>
            <w:tcW w:w="993" w:type="dxa"/>
            <w:tcBorders>
              <w:top w:val="single" w:sz="4" w:space="0" w:color="auto"/>
              <w:left w:val="single" w:sz="4" w:space="0" w:color="FFFFFF" w:themeColor="background1"/>
              <w:right w:val="single" w:sz="4" w:space="0" w:color="FFFFFF" w:themeColor="background1"/>
            </w:tcBorders>
            <w:shd w:val="clear" w:color="auto" w:fill="FFFFFF" w:themeFill="background1"/>
            <w:vAlign w:val="center"/>
          </w:tcPr>
          <w:p w14:paraId="24EA34ED" w14:textId="77777777" w:rsidR="0030216D" w:rsidRDefault="0030216D" w:rsidP="00141C9E">
            <w:pPr>
              <w:jc w:val="center"/>
              <w:rPr>
                <w:rFonts w:asciiTheme="minorHAnsi" w:hAnsiTheme="minorHAnsi" w:cstheme="minorHAnsi"/>
                <w:sz w:val="16"/>
                <w:szCs w:val="16"/>
                <w:lang w:val="es-CO" w:eastAsia="es-CO"/>
              </w:rPr>
            </w:pPr>
          </w:p>
        </w:tc>
        <w:tc>
          <w:tcPr>
            <w:tcW w:w="4110" w:type="dxa"/>
            <w:tcBorders>
              <w:top w:val="single" w:sz="4" w:space="0" w:color="auto"/>
              <w:left w:val="single" w:sz="4" w:space="0" w:color="FFFFFF" w:themeColor="background1"/>
              <w:right w:val="single" w:sz="4" w:space="0" w:color="FFFFFF" w:themeColor="background1"/>
            </w:tcBorders>
            <w:shd w:val="clear" w:color="auto" w:fill="auto"/>
            <w:noWrap/>
            <w:vAlign w:val="center"/>
          </w:tcPr>
          <w:p w14:paraId="47FD1C8C" w14:textId="77777777" w:rsidR="0030216D" w:rsidRPr="00BC5B37" w:rsidRDefault="0030216D" w:rsidP="007C4117">
            <w:pPr>
              <w:rPr>
                <w:rFonts w:asciiTheme="minorHAnsi" w:hAnsiTheme="minorHAnsi" w:cstheme="minorHAnsi"/>
                <w:sz w:val="16"/>
                <w:szCs w:val="16"/>
                <w:lang w:val="es-CO" w:eastAsia="es-CO"/>
              </w:rPr>
            </w:pPr>
          </w:p>
        </w:tc>
        <w:tc>
          <w:tcPr>
            <w:tcW w:w="3969" w:type="dxa"/>
            <w:tcBorders>
              <w:top w:val="single" w:sz="4" w:space="0" w:color="auto"/>
              <w:left w:val="single" w:sz="4" w:space="0" w:color="FFFFFF" w:themeColor="background1"/>
              <w:right w:val="single" w:sz="4" w:space="0" w:color="FFFFFF" w:themeColor="background1"/>
            </w:tcBorders>
            <w:shd w:val="clear" w:color="auto" w:fill="auto"/>
            <w:noWrap/>
            <w:vAlign w:val="center"/>
          </w:tcPr>
          <w:p w14:paraId="543D0664" w14:textId="77777777" w:rsidR="0030216D" w:rsidRPr="000B0F0A" w:rsidRDefault="0030216D" w:rsidP="00BC5B37">
            <w:pPr>
              <w:jc w:val="left"/>
              <w:rPr>
                <w:rFonts w:asciiTheme="minorHAnsi" w:hAnsiTheme="minorHAnsi" w:cstheme="minorHAnsi"/>
                <w:b/>
                <w:bCs/>
                <w:sz w:val="16"/>
                <w:szCs w:val="16"/>
                <w:lang w:val="es-CO" w:eastAsia="es-CO"/>
              </w:rPr>
            </w:pPr>
          </w:p>
        </w:tc>
      </w:tr>
      <w:tr w:rsidR="00ED72C2" w:rsidRPr="000B0F0A" w14:paraId="1E58D025" w14:textId="77777777" w:rsidTr="0030216D">
        <w:trPr>
          <w:trHeight w:val="1662"/>
        </w:trPr>
        <w:tc>
          <w:tcPr>
            <w:tcW w:w="317" w:type="dxa"/>
            <w:tcBorders>
              <w:top w:val="nil"/>
              <w:left w:val="single" w:sz="4" w:space="0" w:color="auto"/>
              <w:bottom w:val="single" w:sz="4" w:space="0" w:color="auto"/>
              <w:right w:val="single" w:sz="4" w:space="0" w:color="auto"/>
            </w:tcBorders>
            <w:shd w:val="clear" w:color="auto" w:fill="auto"/>
            <w:vAlign w:val="center"/>
            <w:hideMark/>
          </w:tcPr>
          <w:p w14:paraId="3FD5B55D"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lastRenderedPageBreak/>
              <w:t>9</w:t>
            </w:r>
          </w:p>
        </w:tc>
        <w:tc>
          <w:tcPr>
            <w:tcW w:w="954" w:type="dxa"/>
            <w:tcBorders>
              <w:top w:val="nil"/>
              <w:left w:val="nil"/>
              <w:bottom w:val="single" w:sz="4" w:space="0" w:color="auto"/>
              <w:right w:val="single" w:sz="4" w:space="0" w:color="auto"/>
            </w:tcBorders>
            <w:shd w:val="clear" w:color="auto" w:fill="auto"/>
            <w:vAlign w:val="center"/>
            <w:hideMark/>
          </w:tcPr>
          <w:p w14:paraId="049B7A38"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Cuentas por pagar</w:t>
            </w:r>
          </w:p>
        </w:tc>
        <w:tc>
          <w:tcPr>
            <w:tcW w:w="3969" w:type="dxa"/>
            <w:tcBorders>
              <w:top w:val="nil"/>
              <w:left w:val="nil"/>
              <w:bottom w:val="nil"/>
              <w:right w:val="nil"/>
            </w:tcBorders>
            <w:shd w:val="clear" w:color="auto" w:fill="auto"/>
            <w:noWrap/>
            <w:vAlign w:val="center"/>
            <w:hideMark/>
          </w:tcPr>
          <w:p w14:paraId="5BAC6A1E" w14:textId="4A736B9C" w:rsidR="00ED72C2" w:rsidRPr="000B0F0A" w:rsidRDefault="00ED72C2" w:rsidP="00ED72C2">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b/>
                <w:bCs/>
                <w:color w:val="000000"/>
                <w:sz w:val="16"/>
                <w:szCs w:val="16"/>
                <w:lang w:val="es-CO" w:eastAsia="es-CO"/>
              </w:rPr>
              <w:t>Informe para revelaciones</w:t>
            </w:r>
            <w:r w:rsidRPr="000B0F0A">
              <w:rPr>
                <w:rFonts w:asciiTheme="minorHAnsi" w:hAnsiTheme="minorHAnsi" w:cstheme="minorHAnsi"/>
                <w:color w:val="000000"/>
                <w:sz w:val="16"/>
                <w:szCs w:val="16"/>
                <w:lang w:val="es-CO" w:eastAsia="es-CO"/>
              </w:rPr>
              <w:t>: Información relativa al valor en libros al cierre de la vigencia y a las condiciones de la cuenta por pagar, tales como: plazo y vencimiento. Así mismo, revela el valor de las cuentas por pagar que se hayan dado de baja por causas distintas a su pago si esto ocurre.</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006FEE73" w14:textId="77777777" w:rsidR="00ED72C2" w:rsidRPr="000B0F0A" w:rsidRDefault="00ED72C2" w:rsidP="00ED72C2">
            <w:pPr>
              <w:suppressAutoHyphens w:val="0"/>
              <w:autoSpaceDN/>
              <w:textAlignment w:val="auto"/>
              <w:rPr>
                <w:rFonts w:asciiTheme="minorHAnsi" w:hAnsiTheme="minorHAnsi" w:cstheme="minorHAnsi"/>
                <w:color w:val="000000"/>
                <w:sz w:val="16"/>
                <w:szCs w:val="16"/>
                <w:lang w:val="es-CO" w:eastAsia="es-CO"/>
              </w:rPr>
            </w:pPr>
            <w:bookmarkStart w:id="16" w:name="RANGE!E16"/>
            <w:r w:rsidRPr="000B0F0A">
              <w:rPr>
                <w:rFonts w:asciiTheme="minorHAnsi" w:hAnsiTheme="minorHAnsi" w:cstheme="minorHAnsi"/>
                <w:b/>
                <w:bCs/>
                <w:color w:val="000000"/>
                <w:sz w:val="16"/>
                <w:szCs w:val="16"/>
                <w:lang w:val="es-CO" w:eastAsia="es-CO"/>
              </w:rPr>
              <w:t>12.9.2. Reconocimiento</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br/>
              <w:t>Se reconoce como cuentas por pagar las obligaciones adquiridas por el Instituto Distrital de Recreación y Deporte - IDRD, con terceros, originadas en el desarrollo de sus actividades y de las cuales se espere, a futuro, la salida de un flujo financiero fijo o determinable a través de efectivo, equivalentes al efectivo u otro instrumento.</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br/>
              <w:t>Las cuentas por pagar se clasificarán en la categoría de costo.</w:t>
            </w:r>
            <w:bookmarkEnd w:id="16"/>
          </w:p>
        </w:tc>
        <w:tc>
          <w:tcPr>
            <w:tcW w:w="1276" w:type="dxa"/>
            <w:tcBorders>
              <w:top w:val="nil"/>
              <w:left w:val="nil"/>
              <w:bottom w:val="single" w:sz="4" w:space="0" w:color="auto"/>
              <w:right w:val="single" w:sz="4" w:space="0" w:color="auto"/>
            </w:tcBorders>
            <w:shd w:val="clear" w:color="auto" w:fill="auto"/>
            <w:vAlign w:val="center"/>
            <w:hideMark/>
          </w:tcPr>
          <w:p w14:paraId="25E05709" w14:textId="77777777" w:rsidR="00520010" w:rsidRDefault="00ED72C2" w:rsidP="00520010">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Tesorería</w:t>
            </w:r>
          </w:p>
          <w:p w14:paraId="4D4286D9" w14:textId="77777777" w:rsidR="00520010" w:rsidRDefault="00520010" w:rsidP="00520010">
            <w:pPr>
              <w:suppressAutoHyphens w:val="0"/>
              <w:autoSpaceDN/>
              <w:jc w:val="center"/>
              <w:textAlignment w:val="auto"/>
              <w:rPr>
                <w:rFonts w:asciiTheme="minorHAnsi" w:hAnsiTheme="minorHAnsi" w:cstheme="minorHAnsi"/>
                <w:sz w:val="16"/>
                <w:szCs w:val="16"/>
                <w:lang w:val="es-CO" w:eastAsia="es-CO"/>
              </w:rPr>
            </w:pPr>
          </w:p>
          <w:p w14:paraId="611B5451" w14:textId="0535F7D0" w:rsidR="00520010" w:rsidRPr="000B0F0A" w:rsidRDefault="00520010" w:rsidP="00520010">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Contabilidad</w:t>
            </w:r>
          </w:p>
        </w:tc>
        <w:tc>
          <w:tcPr>
            <w:tcW w:w="1984" w:type="dxa"/>
            <w:tcBorders>
              <w:top w:val="nil"/>
              <w:left w:val="nil"/>
              <w:bottom w:val="single" w:sz="4" w:space="0" w:color="auto"/>
              <w:right w:val="single" w:sz="4" w:space="0" w:color="auto"/>
            </w:tcBorders>
            <w:shd w:val="clear" w:color="auto" w:fill="auto"/>
            <w:vAlign w:val="center"/>
            <w:hideMark/>
          </w:tcPr>
          <w:p w14:paraId="707E9D83"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Anualmente</w:t>
            </w:r>
          </w:p>
        </w:tc>
        <w:tc>
          <w:tcPr>
            <w:tcW w:w="1559" w:type="dxa"/>
            <w:tcBorders>
              <w:top w:val="nil"/>
              <w:left w:val="nil"/>
              <w:bottom w:val="single" w:sz="4" w:space="0" w:color="auto"/>
              <w:right w:val="single" w:sz="4" w:space="0" w:color="auto"/>
            </w:tcBorders>
            <w:shd w:val="clear" w:color="auto" w:fill="auto"/>
            <w:vAlign w:val="center"/>
            <w:hideMark/>
          </w:tcPr>
          <w:p w14:paraId="446D9A15" w14:textId="10EE534B" w:rsidR="00ED72C2" w:rsidRPr="000B0F0A" w:rsidRDefault="00A21EB8"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N/A</w:t>
            </w:r>
          </w:p>
        </w:tc>
        <w:tc>
          <w:tcPr>
            <w:tcW w:w="993" w:type="dxa"/>
            <w:tcBorders>
              <w:top w:val="nil"/>
              <w:left w:val="nil"/>
              <w:bottom w:val="single" w:sz="4" w:space="0" w:color="auto"/>
              <w:right w:val="single" w:sz="4" w:space="0" w:color="auto"/>
            </w:tcBorders>
            <w:shd w:val="clear" w:color="auto" w:fill="92D050"/>
            <w:vAlign w:val="center"/>
            <w:hideMark/>
          </w:tcPr>
          <w:p w14:paraId="630D1EFD" w14:textId="77777777" w:rsidR="00ED72C2"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w:t>
            </w:r>
            <w:r w:rsidR="00A21EB8">
              <w:rPr>
                <w:rFonts w:asciiTheme="minorHAnsi" w:hAnsiTheme="minorHAnsi" w:cstheme="minorHAnsi"/>
                <w:sz w:val="16"/>
                <w:szCs w:val="16"/>
                <w:lang w:val="es-CO" w:eastAsia="es-CO"/>
              </w:rPr>
              <w:t>SÍ</w:t>
            </w:r>
          </w:p>
          <w:p w14:paraId="3BBCFC42" w14:textId="5FD8B4F0" w:rsidR="00A21EB8" w:rsidRPr="000B0F0A" w:rsidRDefault="00A21EB8"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p>
        </w:tc>
        <w:tc>
          <w:tcPr>
            <w:tcW w:w="4110" w:type="dxa"/>
            <w:tcBorders>
              <w:top w:val="nil"/>
              <w:left w:val="nil"/>
              <w:bottom w:val="single" w:sz="4" w:space="0" w:color="auto"/>
              <w:right w:val="single" w:sz="4" w:space="0" w:color="auto"/>
            </w:tcBorders>
            <w:shd w:val="clear" w:color="auto" w:fill="auto"/>
            <w:noWrap/>
            <w:vAlign w:val="center"/>
            <w:hideMark/>
          </w:tcPr>
          <w:p w14:paraId="5C2647A4" w14:textId="4205EC6F" w:rsidR="00ED72C2" w:rsidRPr="0073238B" w:rsidRDefault="00A21EB8" w:rsidP="0073238B">
            <w:pPr>
              <w:suppressAutoHyphens w:val="0"/>
              <w:autoSpaceDN/>
              <w:jc w:val="center"/>
              <w:textAlignment w:val="auto"/>
              <w:rPr>
                <w:rFonts w:asciiTheme="minorHAnsi" w:hAnsiTheme="minorHAnsi" w:cstheme="minorHAnsi"/>
                <w:sz w:val="16"/>
                <w:szCs w:val="16"/>
                <w:lang w:val="es-CO" w:eastAsia="es-CO"/>
              </w:rPr>
            </w:pPr>
            <w:r w:rsidRPr="0073238B">
              <w:rPr>
                <w:rFonts w:asciiTheme="minorHAnsi" w:hAnsiTheme="minorHAnsi" w:cstheme="minorHAnsi"/>
                <w:sz w:val="16"/>
                <w:szCs w:val="16"/>
                <w:lang w:val="es-CO" w:eastAsia="es-CO"/>
              </w:rPr>
              <w:t>N/A</w:t>
            </w:r>
          </w:p>
        </w:tc>
        <w:tc>
          <w:tcPr>
            <w:tcW w:w="3969" w:type="dxa"/>
            <w:tcBorders>
              <w:top w:val="nil"/>
              <w:left w:val="nil"/>
              <w:bottom w:val="single" w:sz="4" w:space="0" w:color="auto"/>
              <w:right w:val="single" w:sz="4" w:space="0" w:color="auto"/>
            </w:tcBorders>
            <w:shd w:val="clear" w:color="auto" w:fill="auto"/>
            <w:noWrap/>
            <w:vAlign w:val="center"/>
            <w:hideMark/>
          </w:tcPr>
          <w:p w14:paraId="43974C59" w14:textId="77734996" w:rsidR="00ED72C2" w:rsidRPr="00141C9E" w:rsidRDefault="00C85B6C" w:rsidP="00141C9E">
            <w:pPr>
              <w:suppressAutoHyphens w:val="0"/>
              <w:autoSpaceDN/>
              <w:textAlignment w:val="auto"/>
              <w:rPr>
                <w:rFonts w:asciiTheme="minorHAnsi" w:hAnsiTheme="minorHAnsi" w:cstheme="minorHAnsi"/>
                <w:sz w:val="16"/>
                <w:szCs w:val="16"/>
                <w:lang w:val="es-CO" w:eastAsia="es-CO"/>
              </w:rPr>
            </w:pPr>
            <w:r w:rsidRPr="00C85B6C">
              <w:rPr>
                <w:rFonts w:asciiTheme="minorHAnsi" w:hAnsiTheme="minorHAnsi" w:cstheme="minorHAnsi"/>
                <w:b/>
                <w:sz w:val="16"/>
                <w:szCs w:val="16"/>
                <w:lang w:val="es-CO" w:eastAsia="es-CO"/>
              </w:rPr>
              <w:t>INFORME PARA REVELACIONES</w:t>
            </w:r>
            <w:r>
              <w:rPr>
                <w:rFonts w:asciiTheme="minorHAnsi" w:hAnsiTheme="minorHAnsi" w:cstheme="minorHAnsi"/>
                <w:sz w:val="16"/>
                <w:szCs w:val="16"/>
                <w:lang w:val="es-CO" w:eastAsia="es-CO"/>
              </w:rPr>
              <w:t xml:space="preserve">: </w:t>
            </w:r>
            <w:r w:rsidR="00141C9E" w:rsidRPr="00141C9E">
              <w:rPr>
                <w:rFonts w:asciiTheme="minorHAnsi" w:hAnsiTheme="minorHAnsi" w:cstheme="minorHAnsi"/>
                <w:sz w:val="16"/>
                <w:szCs w:val="16"/>
                <w:lang w:val="es-CO" w:eastAsia="es-CO"/>
              </w:rPr>
              <w:t xml:space="preserve">Revisadas </w:t>
            </w:r>
            <w:r w:rsidR="008845F6" w:rsidRPr="00141C9E">
              <w:rPr>
                <w:rFonts w:asciiTheme="minorHAnsi" w:hAnsiTheme="minorHAnsi" w:cstheme="minorHAnsi"/>
                <w:sz w:val="16"/>
                <w:szCs w:val="16"/>
                <w:lang w:val="es-CO" w:eastAsia="es-CO"/>
              </w:rPr>
              <w:t>la</w:t>
            </w:r>
            <w:r w:rsidR="008845F6">
              <w:rPr>
                <w:rFonts w:asciiTheme="minorHAnsi" w:hAnsiTheme="minorHAnsi" w:cstheme="minorHAnsi"/>
                <w:sz w:val="16"/>
                <w:szCs w:val="16"/>
                <w:lang w:val="es-CO" w:eastAsia="es-CO"/>
              </w:rPr>
              <w:t>s</w:t>
            </w:r>
            <w:r w:rsidR="00141C9E" w:rsidRPr="00141C9E">
              <w:rPr>
                <w:rFonts w:asciiTheme="minorHAnsi" w:hAnsiTheme="minorHAnsi" w:cstheme="minorHAnsi"/>
                <w:sz w:val="16"/>
                <w:szCs w:val="16"/>
                <w:lang w:val="es-CO" w:eastAsia="es-CO"/>
              </w:rPr>
              <w:t xml:space="preserve"> revelaciones se evidencia que la información relacionada con C</w:t>
            </w:r>
            <w:r w:rsidR="00F75F6B">
              <w:rPr>
                <w:rFonts w:asciiTheme="minorHAnsi" w:hAnsiTheme="minorHAnsi" w:cstheme="minorHAnsi"/>
                <w:sz w:val="16"/>
                <w:szCs w:val="16"/>
                <w:lang w:val="es-CO" w:eastAsia="es-CO"/>
              </w:rPr>
              <w:t xml:space="preserve">uentas por </w:t>
            </w:r>
            <w:r w:rsidR="00141C9E" w:rsidRPr="00141C9E">
              <w:rPr>
                <w:rFonts w:asciiTheme="minorHAnsi" w:hAnsiTheme="minorHAnsi" w:cstheme="minorHAnsi"/>
                <w:sz w:val="16"/>
                <w:szCs w:val="16"/>
                <w:lang w:val="es-CO" w:eastAsia="es-CO"/>
              </w:rPr>
              <w:t>P</w:t>
            </w:r>
            <w:r w:rsidR="00F75F6B">
              <w:rPr>
                <w:rFonts w:asciiTheme="minorHAnsi" w:hAnsiTheme="minorHAnsi" w:cstheme="minorHAnsi"/>
                <w:sz w:val="16"/>
                <w:szCs w:val="16"/>
                <w:lang w:val="es-CO" w:eastAsia="es-CO"/>
              </w:rPr>
              <w:t>agar</w:t>
            </w:r>
            <w:r w:rsidR="00141C9E" w:rsidRPr="00141C9E">
              <w:rPr>
                <w:rFonts w:asciiTheme="minorHAnsi" w:hAnsiTheme="minorHAnsi" w:cstheme="minorHAnsi"/>
                <w:sz w:val="16"/>
                <w:szCs w:val="16"/>
                <w:lang w:val="es-CO" w:eastAsia="es-CO"/>
              </w:rPr>
              <w:t xml:space="preserve"> presenta las características solicitadas en la actividad del PSC</w:t>
            </w:r>
          </w:p>
        </w:tc>
      </w:tr>
      <w:tr w:rsidR="00ED72C2" w:rsidRPr="000B0F0A" w14:paraId="252BEF87" w14:textId="77777777" w:rsidTr="002B0B25">
        <w:trPr>
          <w:trHeight w:val="4896"/>
        </w:trPr>
        <w:tc>
          <w:tcPr>
            <w:tcW w:w="317" w:type="dxa"/>
            <w:tcBorders>
              <w:top w:val="nil"/>
              <w:left w:val="single" w:sz="4" w:space="0" w:color="auto"/>
              <w:bottom w:val="single" w:sz="4" w:space="0" w:color="auto"/>
              <w:right w:val="single" w:sz="4" w:space="0" w:color="auto"/>
            </w:tcBorders>
            <w:shd w:val="clear" w:color="auto" w:fill="auto"/>
            <w:vAlign w:val="center"/>
            <w:hideMark/>
          </w:tcPr>
          <w:p w14:paraId="5035DECD"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10</w:t>
            </w:r>
          </w:p>
        </w:tc>
        <w:tc>
          <w:tcPr>
            <w:tcW w:w="954" w:type="dxa"/>
            <w:tcBorders>
              <w:top w:val="nil"/>
              <w:left w:val="nil"/>
              <w:bottom w:val="single" w:sz="4" w:space="0" w:color="auto"/>
              <w:right w:val="single" w:sz="4" w:space="0" w:color="auto"/>
            </w:tcBorders>
            <w:shd w:val="clear" w:color="auto" w:fill="auto"/>
            <w:vAlign w:val="center"/>
            <w:hideMark/>
          </w:tcPr>
          <w:p w14:paraId="3DB143A0"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Beneficios a Empleados a corto plazo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47C3335" w14:textId="130A511A" w:rsidR="00ED72C2" w:rsidRPr="00F75F6B" w:rsidRDefault="00ED72C2" w:rsidP="00ED72C2">
            <w:pPr>
              <w:suppressAutoHyphens w:val="0"/>
              <w:autoSpaceDN/>
              <w:spacing w:after="240"/>
              <w:textAlignment w:val="auto"/>
              <w:rPr>
                <w:rFonts w:asciiTheme="minorHAnsi" w:hAnsiTheme="minorHAnsi" w:cstheme="minorHAnsi"/>
                <w:i/>
                <w:sz w:val="16"/>
                <w:szCs w:val="16"/>
                <w:lang w:val="es-CO" w:eastAsia="es-CO"/>
              </w:rPr>
            </w:pPr>
            <w:r w:rsidRPr="00F75F6B">
              <w:rPr>
                <w:rFonts w:asciiTheme="minorHAnsi" w:hAnsiTheme="minorHAnsi" w:cstheme="minorHAnsi"/>
                <w:i/>
                <w:sz w:val="16"/>
                <w:szCs w:val="16"/>
                <w:lang w:val="es-CO" w:eastAsia="es-CO"/>
              </w:rPr>
              <w:t>Realizar conciliación mensual de los beneficios a corto plazo, hacen parte de tales beneficios:  los sueldos, prestaciones sociales y aportes a la seguridad social.</w:t>
            </w:r>
            <w:r w:rsidRPr="00F75F6B">
              <w:rPr>
                <w:rFonts w:asciiTheme="minorHAnsi" w:hAnsiTheme="minorHAnsi" w:cstheme="minorHAnsi"/>
                <w:i/>
                <w:sz w:val="16"/>
                <w:szCs w:val="16"/>
                <w:lang w:val="es-CO" w:eastAsia="es-CO"/>
              </w:rPr>
              <w:br/>
              <w:t>1. El área de Contabilidad remite conciliación con  los saldos de la cuenta 2511 al área de nómina para ser verificada con la información del módulo de nóminas.</w:t>
            </w:r>
            <w:r w:rsidRPr="00F75F6B">
              <w:rPr>
                <w:rFonts w:asciiTheme="minorHAnsi" w:hAnsiTheme="minorHAnsi" w:cstheme="minorHAnsi"/>
                <w:i/>
                <w:sz w:val="16"/>
                <w:szCs w:val="16"/>
                <w:lang w:val="es-CO" w:eastAsia="es-CO"/>
              </w:rPr>
              <w:br/>
              <w:t xml:space="preserve">2.  El área de Talento Humano-Nómina revisa la conciliación y </w:t>
            </w:r>
            <w:r w:rsidR="00F75F6B" w:rsidRPr="00F75F6B">
              <w:rPr>
                <w:rFonts w:asciiTheme="minorHAnsi" w:hAnsiTheme="minorHAnsi" w:cstheme="minorHAnsi"/>
                <w:i/>
                <w:sz w:val="16"/>
                <w:szCs w:val="16"/>
                <w:lang w:val="es-CO" w:eastAsia="es-CO"/>
              </w:rPr>
              <w:t>envía copia</w:t>
            </w:r>
            <w:r w:rsidRPr="00F75F6B">
              <w:rPr>
                <w:rFonts w:asciiTheme="minorHAnsi" w:hAnsiTheme="minorHAnsi" w:cstheme="minorHAnsi"/>
                <w:i/>
                <w:sz w:val="16"/>
                <w:szCs w:val="16"/>
                <w:lang w:val="es-CO" w:eastAsia="es-CO"/>
              </w:rPr>
              <w:t xml:space="preserve"> a Contabilidad, con las correspondientes firmas.</w:t>
            </w:r>
            <w:r w:rsidRPr="00F75F6B">
              <w:rPr>
                <w:rFonts w:asciiTheme="minorHAnsi" w:hAnsiTheme="minorHAnsi" w:cstheme="minorHAnsi"/>
                <w:i/>
                <w:sz w:val="16"/>
                <w:szCs w:val="16"/>
                <w:lang w:val="es-CO" w:eastAsia="es-CO"/>
              </w:rPr>
              <w:br/>
            </w:r>
            <w:r w:rsidRPr="00F75F6B">
              <w:rPr>
                <w:rFonts w:asciiTheme="minorHAnsi" w:hAnsiTheme="minorHAnsi" w:cstheme="minorHAnsi"/>
                <w:i/>
                <w:sz w:val="16"/>
                <w:szCs w:val="16"/>
                <w:lang w:val="es-CO" w:eastAsia="es-CO"/>
              </w:rPr>
              <w:br/>
            </w:r>
            <w:r w:rsidR="00187F9D" w:rsidRPr="00F75F6B">
              <w:rPr>
                <w:rFonts w:asciiTheme="minorHAnsi" w:hAnsiTheme="minorHAnsi" w:cstheme="minorHAnsi"/>
                <w:b/>
                <w:bCs/>
                <w:i/>
                <w:sz w:val="16"/>
                <w:szCs w:val="16"/>
                <w:lang w:val="es-CO" w:eastAsia="es-CO"/>
              </w:rPr>
              <w:t xml:space="preserve"> Informe para revelaciones</w:t>
            </w:r>
            <w:r w:rsidRPr="00F75F6B">
              <w:rPr>
                <w:rFonts w:asciiTheme="minorHAnsi" w:hAnsiTheme="minorHAnsi" w:cstheme="minorHAnsi"/>
                <w:b/>
                <w:bCs/>
                <w:i/>
                <w:sz w:val="16"/>
                <w:szCs w:val="16"/>
                <w:lang w:val="es-CO" w:eastAsia="es-CO"/>
              </w:rPr>
              <w:t>:</w:t>
            </w:r>
            <w:r w:rsidRPr="00F75F6B">
              <w:rPr>
                <w:rFonts w:asciiTheme="minorHAnsi" w:hAnsiTheme="minorHAnsi" w:cstheme="minorHAnsi"/>
                <w:i/>
                <w:sz w:val="16"/>
                <w:szCs w:val="16"/>
                <w:lang w:val="es-CO" w:eastAsia="es-CO"/>
              </w:rPr>
              <w:br/>
            </w:r>
            <w:r w:rsidRPr="00F75F6B">
              <w:rPr>
                <w:rFonts w:asciiTheme="minorHAnsi" w:hAnsiTheme="minorHAnsi" w:cstheme="minorHAnsi"/>
                <w:i/>
                <w:sz w:val="16"/>
                <w:szCs w:val="16"/>
                <w:lang w:val="es-CO" w:eastAsia="es-CO"/>
              </w:rPr>
              <w:br/>
              <w:t xml:space="preserve">Enviar a Contabilidad, informe final de los beneficios a los servidores públicos consolidado , detallando el </w:t>
            </w:r>
            <w:r w:rsidR="00187F9D" w:rsidRPr="00F75F6B">
              <w:rPr>
                <w:rFonts w:asciiTheme="minorHAnsi" w:hAnsiTheme="minorHAnsi" w:cstheme="minorHAnsi"/>
                <w:i/>
                <w:sz w:val="16"/>
                <w:szCs w:val="16"/>
                <w:lang w:val="es-CO" w:eastAsia="es-CO"/>
              </w:rPr>
              <w:t>número</w:t>
            </w:r>
            <w:r w:rsidRPr="00F75F6B">
              <w:rPr>
                <w:rFonts w:asciiTheme="minorHAnsi" w:hAnsiTheme="minorHAnsi" w:cstheme="minorHAnsi"/>
                <w:i/>
                <w:sz w:val="16"/>
                <w:szCs w:val="16"/>
                <w:lang w:val="es-CO" w:eastAsia="es-CO"/>
              </w:rPr>
              <w:t xml:space="preserve"> de identificación, nombre, concepto de la prestación y valor acumulado al cierre de la vigencia.</w:t>
            </w:r>
          </w:p>
        </w:tc>
        <w:tc>
          <w:tcPr>
            <w:tcW w:w="3544" w:type="dxa"/>
            <w:tcBorders>
              <w:top w:val="nil"/>
              <w:left w:val="nil"/>
              <w:bottom w:val="single" w:sz="4" w:space="0" w:color="auto"/>
              <w:right w:val="single" w:sz="4" w:space="0" w:color="auto"/>
            </w:tcBorders>
            <w:shd w:val="clear" w:color="auto" w:fill="auto"/>
            <w:vAlign w:val="center"/>
            <w:hideMark/>
          </w:tcPr>
          <w:p w14:paraId="3BC5492D" w14:textId="77777777" w:rsidR="00ED72C2" w:rsidRPr="000B0F0A" w:rsidRDefault="00ED72C2" w:rsidP="00ED72C2">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t xml:space="preserve">12.10.2.1 </w:t>
            </w:r>
            <w:r w:rsidRPr="000B0F0A">
              <w:rPr>
                <w:rFonts w:asciiTheme="minorHAnsi" w:hAnsiTheme="minorHAnsi" w:cstheme="minorHAnsi"/>
                <w:b/>
                <w:bCs/>
                <w:color w:val="000000"/>
                <w:sz w:val="16"/>
                <w:szCs w:val="16"/>
                <w:lang w:val="es-CO" w:eastAsia="es-CO"/>
              </w:rPr>
              <w:t xml:space="preserve">Beneficios a los empleados a corto plazo - Reconocimiento: </w:t>
            </w:r>
            <w:r w:rsidRPr="000B0F0A">
              <w:rPr>
                <w:rFonts w:asciiTheme="minorHAnsi" w:hAnsiTheme="minorHAnsi" w:cstheme="minorHAnsi"/>
                <w:i/>
                <w:iCs/>
                <w:color w:val="000000"/>
                <w:sz w:val="16"/>
                <w:szCs w:val="16"/>
                <w:lang w:val="es-CO" w:eastAsia="es-CO"/>
              </w:rPr>
              <w:t xml:space="preserve">"El Instituto Distrital de Recreación y Deporte - IDRD, reconoce como beneficios a los empleados a corto plazo, aquellos otorgados a los empleados que hayan prestado sus servicios durante el periodo contable y cuya obligación de pago venza dentro de los 12 meses siguientes al cierre de dicho periodo. Hacen parte de tales beneficios, los sueldos, prestaciones sociales y aportes a la seguridad social; los incentivos pagados y los beneficios no monetarios, entre otros." </w:t>
            </w:r>
          </w:p>
        </w:tc>
        <w:tc>
          <w:tcPr>
            <w:tcW w:w="1276" w:type="dxa"/>
            <w:tcBorders>
              <w:top w:val="nil"/>
              <w:left w:val="nil"/>
              <w:bottom w:val="single" w:sz="4" w:space="0" w:color="auto"/>
              <w:right w:val="single" w:sz="4" w:space="0" w:color="auto"/>
            </w:tcBorders>
            <w:shd w:val="clear" w:color="auto" w:fill="auto"/>
            <w:vAlign w:val="center"/>
            <w:hideMark/>
          </w:tcPr>
          <w:p w14:paraId="337F1291" w14:textId="77777777" w:rsidR="00ED72C2"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N</w:t>
            </w:r>
            <w:r>
              <w:rPr>
                <w:rFonts w:asciiTheme="minorHAnsi" w:hAnsiTheme="minorHAnsi" w:cstheme="minorHAnsi"/>
                <w:sz w:val="16"/>
                <w:szCs w:val="16"/>
                <w:lang w:val="es-CO" w:eastAsia="es-CO"/>
              </w:rPr>
              <w:t>ómina</w:t>
            </w:r>
          </w:p>
          <w:p w14:paraId="43C92CDF" w14:textId="77777777" w:rsidR="00520010" w:rsidRDefault="00520010" w:rsidP="00ED72C2">
            <w:pPr>
              <w:suppressAutoHyphens w:val="0"/>
              <w:autoSpaceDN/>
              <w:jc w:val="center"/>
              <w:textAlignment w:val="auto"/>
              <w:rPr>
                <w:rFonts w:asciiTheme="minorHAnsi" w:hAnsiTheme="minorHAnsi" w:cstheme="minorHAnsi"/>
                <w:sz w:val="16"/>
                <w:szCs w:val="16"/>
                <w:lang w:val="es-CO" w:eastAsia="es-CO"/>
              </w:rPr>
            </w:pPr>
          </w:p>
          <w:p w14:paraId="1A9523C8" w14:textId="672EF693" w:rsidR="00520010" w:rsidRPr="000B0F0A" w:rsidRDefault="00520010"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Contabilidad</w:t>
            </w:r>
          </w:p>
        </w:tc>
        <w:tc>
          <w:tcPr>
            <w:tcW w:w="1984" w:type="dxa"/>
            <w:tcBorders>
              <w:top w:val="nil"/>
              <w:left w:val="nil"/>
              <w:bottom w:val="single" w:sz="4" w:space="0" w:color="auto"/>
              <w:right w:val="single" w:sz="4" w:space="0" w:color="auto"/>
            </w:tcBorders>
            <w:shd w:val="clear" w:color="auto" w:fill="auto"/>
            <w:vAlign w:val="center"/>
            <w:hideMark/>
          </w:tcPr>
          <w:p w14:paraId="668A80BA"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Mensualmente</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Anualmente</w:t>
            </w:r>
          </w:p>
        </w:tc>
        <w:tc>
          <w:tcPr>
            <w:tcW w:w="1559" w:type="dxa"/>
            <w:tcBorders>
              <w:top w:val="nil"/>
              <w:left w:val="nil"/>
              <w:bottom w:val="single" w:sz="4" w:space="0" w:color="auto"/>
              <w:right w:val="single" w:sz="4" w:space="0" w:color="auto"/>
            </w:tcBorders>
            <w:shd w:val="clear" w:color="auto" w:fill="auto"/>
            <w:vAlign w:val="center"/>
            <w:hideMark/>
          </w:tcPr>
          <w:p w14:paraId="6A794DF0" w14:textId="7EAD7707" w:rsidR="00ED72C2" w:rsidRPr="000B0F0A" w:rsidRDefault="00BF6AA9" w:rsidP="00ED72C2">
            <w:pPr>
              <w:suppressAutoHyphens w:val="0"/>
              <w:autoSpaceDN/>
              <w:jc w:val="center"/>
              <w:textAlignment w:val="auto"/>
              <w:rPr>
                <w:rFonts w:asciiTheme="minorHAnsi" w:hAnsiTheme="minorHAnsi" w:cstheme="minorHAnsi"/>
                <w:sz w:val="16"/>
                <w:szCs w:val="16"/>
                <w:lang w:val="es-CO" w:eastAsia="es-CO"/>
              </w:rPr>
            </w:pPr>
            <w:r w:rsidRPr="005352D6">
              <w:rPr>
                <w:rFonts w:asciiTheme="minorHAnsi" w:hAnsiTheme="minorHAnsi" w:cstheme="minorHAnsi"/>
                <w:sz w:val="16"/>
                <w:szCs w:val="16"/>
                <w:lang w:val="es-CO" w:eastAsia="es-CO"/>
              </w:rPr>
              <w:t>20213000124263</w:t>
            </w:r>
          </w:p>
        </w:tc>
        <w:tc>
          <w:tcPr>
            <w:tcW w:w="993" w:type="dxa"/>
            <w:tcBorders>
              <w:top w:val="nil"/>
              <w:left w:val="nil"/>
              <w:bottom w:val="single" w:sz="4" w:space="0" w:color="auto"/>
              <w:right w:val="single" w:sz="4" w:space="0" w:color="auto"/>
            </w:tcBorders>
            <w:shd w:val="clear" w:color="auto" w:fill="92D050"/>
            <w:vAlign w:val="center"/>
            <w:hideMark/>
          </w:tcPr>
          <w:p w14:paraId="7BD053A6" w14:textId="77777777" w:rsidR="00BF6AA9" w:rsidRDefault="00BF6AA9"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SÍ</w:t>
            </w:r>
          </w:p>
          <w:p w14:paraId="4AAFDF61" w14:textId="57EA3DEC" w:rsidR="00ED72C2" w:rsidRPr="000B0F0A" w:rsidRDefault="00BF6AA9"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r w:rsidR="00ED72C2" w:rsidRPr="000B0F0A">
              <w:rPr>
                <w:rFonts w:asciiTheme="minorHAnsi" w:hAnsiTheme="minorHAnsi" w:cstheme="minorHAnsi"/>
                <w:sz w:val="16"/>
                <w:szCs w:val="16"/>
                <w:lang w:val="es-CO" w:eastAsia="es-CO"/>
              </w:rPr>
              <w:t> </w:t>
            </w:r>
          </w:p>
        </w:tc>
        <w:tc>
          <w:tcPr>
            <w:tcW w:w="4110" w:type="dxa"/>
            <w:tcBorders>
              <w:top w:val="nil"/>
              <w:left w:val="nil"/>
              <w:bottom w:val="single" w:sz="4" w:space="0" w:color="auto"/>
              <w:right w:val="single" w:sz="4" w:space="0" w:color="auto"/>
            </w:tcBorders>
            <w:shd w:val="clear" w:color="auto" w:fill="auto"/>
            <w:noWrap/>
            <w:vAlign w:val="center"/>
            <w:hideMark/>
          </w:tcPr>
          <w:p w14:paraId="188692E7" w14:textId="12AD2B76" w:rsidR="00BF6AA9" w:rsidRPr="00F75F6B" w:rsidRDefault="00F75F6B" w:rsidP="00BF6AA9">
            <w:pPr>
              <w:shd w:val="clear" w:color="auto" w:fill="FFFFFF"/>
              <w:suppressAutoHyphens w:val="0"/>
              <w:autoSpaceDN/>
              <w:textAlignment w:val="auto"/>
              <w:rPr>
                <w:rFonts w:asciiTheme="minorHAnsi" w:hAnsiTheme="minorHAnsi" w:cstheme="minorHAnsi"/>
                <w:i/>
                <w:sz w:val="16"/>
                <w:szCs w:val="16"/>
                <w:lang w:val="es-CO" w:eastAsia="es-CO"/>
              </w:rPr>
            </w:pPr>
            <w:r w:rsidRPr="00BC5B37">
              <w:rPr>
                <w:rFonts w:asciiTheme="minorHAnsi" w:hAnsiTheme="minorHAnsi" w:cstheme="minorHAnsi"/>
                <w:sz w:val="16"/>
                <w:szCs w:val="16"/>
                <w:lang w:val="es-CO" w:eastAsia="es-CO"/>
              </w:rPr>
              <w:t> </w:t>
            </w:r>
            <w:r>
              <w:rPr>
                <w:rFonts w:asciiTheme="minorHAnsi" w:hAnsiTheme="minorHAnsi" w:cstheme="minorHAnsi"/>
                <w:sz w:val="16"/>
                <w:szCs w:val="16"/>
                <w:lang w:val="es-CO" w:eastAsia="es-CO"/>
              </w:rPr>
              <w:t xml:space="preserve">La SAF informa que </w:t>
            </w:r>
            <w:r w:rsidR="00BF6AA9" w:rsidRPr="00F75F6B">
              <w:rPr>
                <w:rFonts w:asciiTheme="minorHAnsi" w:hAnsiTheme="minorHAnsi" w:cstheme="minorHAnsi"/>
                <w:i/>
                <w:sz w:val="16"/>
                <w:szCs w:val="16"/>
                <w:lang w:val="es-CO" w:eastAsia="es-CO"/>
              </w:rPr>
              <w:t xml:space="preserve">"Se envía la información por correo a Contabilidad y se adjunta los soportes respectivos identificados en la carpeta “Tema 10” con 23 </w:t>
            </w:r>
            <w:r w:rsidR="00FF6B2D" w:rsidRPr="00F75F6B">
              <w:rPr>
                <w:rFonts w:asciiTheme="minorHAnsi" w:hAnsiTheme="minorHAnsi" w:cstheme="minorHAnsi"/>
                <w:i/>
                <w:sz w:val="16"/>
                <w:szCs w:val="16"/>
                <w:lang w:val="es-CO" w:eastAsia="es-CO"/>
              </w:rPr>
              <w:t>archivos: …</w:t>
            </w:r>
          </w:p>
          <w:p w14:paraId="7267F5B7" w14:textId="77777777" w:rsidR="00BF6AA9" w:rsidRPr="00F75F6B" w:rsidRDefault="00BF6AA9" w:rsidP="00BF6AA9">
            <w:pPr>
              <w:shd w:val="clear" w:color="auto" w:fill="FFFFFF"/>
              <w:suppressAutoHyphens w:val="0"/>
              <w:autoSpaceDN/>
              <w:textAlignment w:val="auto"/>
              <w:rPr>
                <w:rFonts w:asciiTheme="minorHAnsi" w:hAnsiTheme="minorHAnsi" w:cstheme="minorHAnsi"/>
                <w:i/>
                <w:sz w:val="16"/>
                <w:szCs w:val="16"/>
                <w:lang w:val="es-CO" w:eastAsia="es-CO"/>
              </w:rPr>
            </w:pPr>
          </w:p>
          <w:p w14:paraId="2CC6C79E" w14:textId="7CFA2A14" w:rsidR="00BF6AA9" w:rsidRPr="00F75F6B" w:rsidRDefault="00BF6AA9" w:rsidP="00BF6AA9">
            <w:pPr>
              <w:shd w:val="clear" w:color="auto" w:fill="FFFFFF"/>
              <w:suppressAutoHyphens w:val="0"/>
              <w:autoSpaceDN/>
              <w:textAlignment w:val="auto"/>
              <w:rPr>
                <w:rFonts w:asciiTheme="minorHAnsi" w:hAnsiTheme="minorHAnsi" w:cstheme="minorHAnsi"/>
                <w:i/>
                <w:sz w:val="16"/>
                <w:szCs w:val="16"/>
                <w:lang w:val="es-CO" w:eastAsia="es-CO"/>
              </w:rPr>
            </w:pPr>
            <w:r w:rsidRPr="00F75F6B">
              <w:rPr>
                <w:rFonts w:asciiTheme="minorHAnsi" w:hAnsiTheme="minorHAnsi" w:cstheme="minorHAnsi"/>
                <w:i/>
                <w:sz w:val="16"/>
                <w:szCs w:val="16"/>
                <w:lang w:val="es-CO" w:eastAsia="es-CO"/>
              </w:rPr>
              <w:t>Adicionalmente, se remite en adjunto el correo electrónico remitido al área de Contabilidad con respecto al Anexo 22 de las revelaciones tabla 22.5 - Informe final de los beneficios a los servidores públicos, con su soporte respectivo, archivo en Excel Anexo 22 - Beneficios a empleados y plan de activos”.</w:t>
            </w:r>
          </w:p>
          <w:p w14:paraId="58197B5B" w14:textId="60E4D3A9" w:rsidR="00ED72C2" w:rsidRPr="000B0F0A" w:rsidRDefault="00ED72C2" w:rsidP="00ED72C2">
            <w:pPr>
              <w:suppressAutoHyphens w:val="0"/>
              <w:autoSpaceDN/>
              <w:jc w:val="left"/>
              <w:textAlignment w:val="auto"/>
              <w:rPr>
                <w:rFonts w:asciiTheme="minorHAnsi" w:hAnsiTheme="minorHAnsi" w:cstheme="minorHAnsi"/>
                <w:b/>
                <w:bCs/>
                <w:sz w:val="16"/>
                <w:szCs w:val="16"/>
                <w:lang w:val="es-CO" w:eastAsia="es-CO"/>
              </w:rPr>
            </w:pPr>
          </w:p>
        </w:tc>
        <w:tc>
          <w:tcPr>
            <w:tcW w:w="3969" w:type="dxa"/>
            <w:tcBorders>
              <w:top w:val="nil"/>
              <w:left w:val="nil"/>
              <w:bottom w:val="single" w:sz="4" w:space="0" w:color="auto"/>
              <w:right w:val="single" w:sz="4" w:space="0" w:color="auto"/>
            </w:tcBorders>
            <w:shd w:val="clear" w:color="auto" w:fill="auto"/>
            <w:noWrap/>
            <w:vAlign w:val="center"/>
            <w:hideMark/>
          </w:tcPr>
          <w:p w14:paraId="76D490D1" w14:textId="61CD92BE" w:rsidR="00BF6AA9" w:rsidRPr="00BF6AA9" w:rsidRDefault="00BF6AA9" w:rsidP="00BF6AA9">
            <w:pPr>
              <w:suppressAutoHyphens w:val="0"/>
              <w:autoSpaceDN/>
              <w:textAlignment w:val="auto"/>
              <w:rPr>
                <w:rFonts w:asciiTheme="minorHAnsi" w:hAnsiTheme="minorHAnsi" w:cstheme="minorHAnsi"/>
                <w:sz w:val="16"/>
                <w:szCs w:val="16"/>
                <w:lang w:val="es-CO" w:eastAsia="es-CO"/>
              </w:rPr>
            </w:pPr>
            <w:r w:rsidRPr="00BF6AA9">
              <w:rPr>
                <w:rFonts w:asciiTheme="minorHAnsi" w:hAnsiTheme="minorHAnsi" w:cstheme="minorHAnsi"/>
                <w:sz w:val="16"/>
                <w:szCs w:val="16"/>
                <w:lang w:val="es-CO" w:eastAsia="es-CO"/>
              </w:rPr>
              <w:t>Se verificó, con resultados satisfactorios, que la conciliación se realiza mediante 'Interfaz seven' y 'Resumen de nómina'.</w:t>
            </w:r>
          </w:p>
          <w:p w14:paraId="53C49A8F" w14:textId="77777777" w:rsidR="00BF6AA9" w:rsidRPr="00BF6AA9" w:rsidRDefault="00BF6AA9" w:rsidP="00BF6AA9">
            <w:pPr>
              <w:suppressAutoHyphens w:val="0"/>
              <w:autoSpaceDN/>
              <w:textAlignment w:val="auto"/>
              <w:rPr>
                <w:rFonts w:asciiTheme="minorHAnsi" w:hAnsiTheme="minorHAnsi" w:cstheme="minorHAnsi"/>
                <w:sz w:val="16"/>
                <w:szCs w:val="16"/>
                <w:lang w:val="es-CO" w:eastAsia="es-CO"/>
              </w:rPr>
            </w:pPr>
          </w:p>
          <w:p w14:paraId="386A4ADF" w14:textId="24375B4C" w:rsidR="00BF6AA9" w:rsidRPr="00BF6AA9" w:rsidRDefault="00C85B6C" w:rsidP="00BF6AA9">
            <w:pPr>
              <w:suppressAutoHyphens w:val="0"/>
              <w:autoSpaceDN/>
              <w:textAlignment w:val="auto"/>
              <w:rPr>
                <w:rFonts w:asciiTheme="minorHAnsi" w:hAnsiTheme="minorHAnsi" w:cstheme="minorHAnsi"/>
                <w:sz w:val="16"/>
                <w:szCs w:val="16"/>
                <w:lang w:val="es-CO" w:eastAsia="es-CO"/>
              </w:rPr>
            </w:pPr>
            <w:r w:rsidRPr="00C85B6C">
              <w:rPr>
                <w:rFonts w:asciiTheme="minorHAnsi" w:hAnsiTheme="minorHAnsi" w:cstheme="minorHAnsi"/>
                <w:b/>
                <w:sz w:val="16"/>
                <w:szCs w:val="16"/>
                <w:lang w:val="es-CO" w:eastAsia="es-CO"/>
              </w:rPr>
              <w:t>INFORME PARA REVELACIONES</w:t>
            </w:r>
            <w:r>
              <w:rPr>
                <w:rFonts w:asciiTheme="minorHAnsi" w:hAnsiTheme="minorHAnsi" w:cstheme="minorHAnsi"/>
                <w:sz w:val="16"/>
                <w:szCs w:val="16"/>
                <w:lang w:val="es-CO" w:eastAsia="es-CO"/>
              </w:rPr>
              <w:t xml:space="preserve">: </w:t>
            </w:r>
            <w:r w:rsidR="00BF6AA9" w:rsidRPr="00BF6AA9">
              <w:rPr>
                <w:rFonts w:asciiTheme="minorHAnsi" w:hAnsiTheme="minorHAnsi" w:cstheme="minorHAnsi"/>
                <w:sz w:val="16"/>
                <w:szCs w:val="16"/>
                <w:lang w:val="es-CO" w:eastAsia="es-CO"/>
              </w:rPr>
              <w:t>Se observó que, para efectos de Revelaciones, Talento Humano remite 'Beneficios a empleados y plan de activos' (consolidado) al área de Contabilidad.</w:t>
            </w:r>
          </w:p>
          <w:p w14:paraId="60C72E91" w14:textId="77777777" w:rsidR="00BF6AA9" w:rsidRPr="00BF6AA9" w:rsidRDefault="00BF6AA9" w:rsidP="00BF6AA9">
            <w:pPr>
              <w:suppressAutoHyphens w:val="0"/>
              <w:autoSpaceDN/>
              <w:textAlignment w:val="auto"/>
              <w:rPr>
                <w:rFonts w:asciiTheme="minorHAnsi" w:hAnsiTheme="minorHAnsi" w:cstheme="minorHAnsi"/>
                <w:sz w:val="16"/>
                <w:szCs w:val="16"/>
                <w:lang w:val="es-CO" w:eastAsia="es-CO"/>
              </w:rPr>
            </w:pPr>
          </w:p>
          <w:p w14:paraId="649E3A35" w14:textId="54525D8C" w:rsidR="00ED72C2" w:rsidRPr="000B0F0A" w:rsidRDefault="00BF6AA9" w:rsidP="00BF6AA9">
            <w:pPr>
              <w:suppressAutoHyphens w:val="0"/>
              <w:autoSpaceDN/>
              <w:textAlignment w:val="auto"/>
              <w:rPr>
                <w:rFonts w:asciiTheme="minorHAnsi" w:hAnsiTheme="minorHAnsi" w:cstheme="minorHAnsi"/>
                <w:b/>
                <w:bCs/>
                <w:sz w:val="16"/>
                <w:szCs w:val="16"/>
                <w:lang w:val="es-CO" w:eastAsia="es-CO"/>
              </w:rPr>
            </w:pPr>
            <w:r w:rsidRPr="00BF6AA9">
              <w:rPr>
                <w:rFonts w:asciiTheme="minorHAnsi" w:hAnsiTheme="minorHAnsi" w:cstheme="minorHAnsi"/>
                <w:sz w:val="16"/>
                <w:szCs w:val="16"/>
                <w:lang w:val="es-CO" w:eastAsia="es-CO"/>
              </w:rPr>
              <w:t>Con base en lo anterior, se da cumplimiento a la actividad definida en el Plan de Sostenibilidad Contable</w:t>
            </w:r>
          </w:p>
        </w:tc>
      </w:tr>
      <w:tr w:rsidR="00ED72C2" w:rsidRPr="000B0F0A" w14:paraId="4D333EF7" w14:textId="77777777" w:rsidTr="002B0B25">
        <w:trPr>
          <w:trHeight w:val="4062"/>
        </w:trPr>
        <w:tc>
          <w:tcPr>
            <w:tcW w:w="317" w:type="dxa"/>
            <w:tcBorders>
              <w:top w:val="nil"/>
              <w:left w:val="single" w:sz="4" w:space="0" w:color="auto"/>
              <w:bottom w:val="single" w:sz="4" w:space="0" w:color="auto"/>
              <w:right w:val="single" w:sz="4" w:space="0" w:color="auto"/>
            </w:tcBorders>
            <w:shd w:val="clear" w:color="auto" w:fill="auto"/>
            <w:vAlign w:val="center"/>
            <w:hideMark/>
          </w:tcPr>
          <w:p w14:paraId="2190D394"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11</w:t>
            </w:r>
          </w:p>
        </w:tc>
        <w:tc>
          <w:tcPr>
            <w:tcW w:w="954" w:type="dxa"/>
            <w:tcBorders>
              <w:top w:val="nil"/>
              <w:left w:val="nil"/>
              <w:bottom w:val="single" w:sz="4" w:space="0" w:color="auto"/>
              <w:right w:val="single" w:sz="4" w:space="0" w:color="auto"/>
            </w:tcBorders>
            <w:shd w:val="clear" w:color="auto" w:fill="auto"/>
            <w:vAlign w:val="center"/>
            <w:hideMark/>
          </w:tcPr>
          <w:p w14:paraId="4C119DD2"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Beneficios a empleados</w:t>
            </w:r>
            <w:r w:rsidRPr="000B0F0A">
              <w:rPr>
                <w:rFonts w:asciiTheme="minorHAnsi" w:hAnsiTheme="minorHAnsi" w:cstheme="minorHAnsi"/>
                <w:sz w:val="16"/>
                <w:szCs w:val="16"/>
                <w:lang w:val="es-CO" w:eastAsia="es-CO"/>
              </w:rPr>
              <w:br/>
              <w:t>a largo plazo</w:t>
            </w:r>
          </w:p>
        </w:tc>
        <w:tc>
          <w:tcPr>
            <w:tcW w:w="3969" w:type="dxa"/>
            <w:tcBorders>
              <w:top w:val="nil"/>
              <w:left w:val="nil"/>
              <w:bottom w:val="single" w:sz="4" w:space="0" w:color="auto"/>
              <w:right w:val="single" w:sz="4" w:space="0" w:color="auto"/>
            </w:tcBorders>
            <w:shd w:val="clear" w:color="auto" w:fill="auto"/>
            <w:vAlign w:val="center"/>
            <w:hideMark/>
          </w:tcPr>
          <w:p w14:paraId="5AE05EF3" w14:textId="08FBFB86" w:rsidR="00ED72C2" w:rsidRPr="00F75F6B" w:rsidRDefault="00ED72C2" w:rsidP="00ED72C2">
            <w:pPr>
              <w:suppressAutoHyphens w:val="0"/>
              <w:autoSpaceDN/>
              <w:textAlignment w:val="auto"/>
              <w:rPr>
                <w:rFonts w:asciiTheme="minorHAnsi" w:hAnsiTheme="minorHAnsi" w:cstheme="minorHAnsi"/>
                <w:i/>
                <w:sz w:val="16"/>
                <w:szCs w:val="16"/>
                <w:lang w:val="es-CO" w:eastAsia="es-CO"/>
              </w:rPr>
            </w:pPr>
            <w:r w:rsidRPr="00F75F6B">
              <w:rPr>
                <w:rFonts w:asciiTheme="minorHAnsi" w:hAnsiTheme="minorHAnsi" w:cstheme="minorHAnsi"/>
                <w:b/>
                <w:bCs/>
                <w:i/>
                <w:sz w:val="16"/>
                <w:szCs w:val="16"/>
                <w:lang w:val="es-CO" w:eastAsia="es-CO"/>
              </w:rPr>
              <w:t>Informes para revelaciones:</w:t>
            </w:r>
            <w:r w:rsidRPr="00F75F6B">
              <w:rPr>
                <w:rFonts w:asciiTheme="minorHAnsi" w:hAnsiTheme="minorHAnsi" w:cstheme="minorHAnsi"/>
                <w:i/>
                <w:sz w:val="16"/>
                <w:szCs w:val="16"/>
                <w:lang w:val="es-CO" w:eastAsia="es-CO"/>
              </w:rPr>
              <w:br/>
            </w:r>
            <w:r w:rsidRPr="00F75F6B">
              <w:rPr>
                <w:rFonts w:asciiTheme="minorHAnsi" w:hAnsiTheme="minorHAnsi" w:cstheme="minorHAnsi"/>
                <w:i/>
                <w:sz w:val="16"/>
                <w:szCs w:val="16"/>
                <w:lang w:val="es-CO" w:eastAsia="es-CO"/>
              </w:rPr>
              <w:br/>
              <w:t xml:space="preserve">1. Enviar a Contabilidad, informe de la cuantía de la obligación total al finalizar el período contable, por concepto de los beneficios a empleados a largo plazo, por cada servidor público. </w:t>
            </w:r>
            <w:r w:rsidRPr="00F75F6B">
              <w:rPr>
                <w:rFonts w:asciiTheme="minorHAnsi" w:hAnsiTheme="minorHAnsi" w:cstheme="minorHAnsi"/>
                <w:i/>
                <w:sz w:val="16"/>
                <w:szCs w:val="16"/>
                <w:lang w:val="es-CO" w:eastAsia="es-CO"/>
              </w:rPr>
              <w:br/>
            </w:r>
            <w:r w:rsidRPr="00F75F6B">
              <w:rPr>
                <w:rFonts w:asciiTheme="minorHAnsi" w:hAnsiTheme="minorHAnsi" w:cstheme="minorHAnsi"/>
                <w:i/>
                <w:sz w:val="16"/>
                <w:szCs w:val="16"/>
                <w:lang w:val="es-CO" w:eastAsia="es-CO"/>
              </w:rPr>
              <w:br/>
              <w:t>2.Informar a Contabilidad la naturaleza, cuantía y metodología que sustenta la estimación de los beneficios otorgados a los empleados por incentivos.</w:t>
            </w:r>
          </w:p>
        </w:tc>
        <w:tc>
          <w:tcPr>
            <w:tcW w:w="3544" w:type="dxa"/>
            <w:tcBorders>
              <w:top w:val="nil"/>
              <w:left w:val="nil"/>
              <w:bottom w:val="single" w:sz="4" w:space="0" w:color="auto"/>
              <w:right w:val="single" w:sz="4" w:space="0" w:color="auto"/>
            </w:tcBorders>
            <w:shd w:val="clear" w:color="auto" w:fill="FFFFFF" w:themeFill="background1"/>
            <w:vAlign w:val="center"/>
            <w:hideMark/>
          </w:tcPr>
          <w:p w14:paraId="6CA76C10" w14:textId="5F079B5A" w:rsidR="00ED72C2" w:rsidRPr="000B0F0A" w:rsidRDefault="00ED72C2" w:rsidP="00ED72C2">
            <w:pPr>
              <w:suppressAutoHyphens w:val="0"/>
              <w:autoSpaceDN/>
              <w:spacing w:after="240"/>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t>12.10.3.1.</w:t>
            </w:r>
            <w:r w:rsidRPr="000B0F0A">
              <w:rPr>
                <w:rFonts w:asciiTheme="minorHAnsi" w:hAnsiTheme="minorHAnsi" w:cstheme="minorHAnsi"/>
                <w:b/>
                <w:bCs/>
                <w:color w:val="000000"/>
                <w:sz w:val="16"/>
                <w:szCs w:val="16"/>
                <w:lang w:val="es-CO" w:eastAsia="es-CO"/>
              </w:rPr>
              <w:t xml:space="preserve"> Beneficios a los empleados a largo plazo - Reconocimiento: </w:t>
            </w:r>
            <w:r w:rsidRPr="000B0F0A">
              <w:rPr>
                <w:rFonts w:asciiTheme="minorHAnsi" w:hAnsiTheme="minorHAnsi" w:cstheme="minorHAnsi"/>
                <w:i/>
                <w:iCs/>
                <w:color w:val="000000"/>
                <w:sz w:val="16"/>
                <w:szCs w:val="16"/>
                <w:lang w:val="es-CO" w:eastAsia="es-CO"/>
              </w:rPr>
              <w:t xml:space="preserve">"Se reconoce como beneficios a los empleados a largo plazo, los diferentes de los de corto plazo, de los de </w:t>
            </w:r>
            <w:proofErr w:type="spellStart"/>
            <w:r w:rsidRPr="000B0F0A">
              <w:rPr>
                <w:rFonts w:asciiTheme="minorHAnsi" w:hAnsiTheme="minorHAnsi" w:cstheme="minorHAnsi"/>
                <w:i/>
                <w:iCs/>
                <w:color w:val="000000"/>
                <w:sz w:val="16"/>
                <w:szCs w:val="16"/>
                <w:lang w:val="es-CO" w:eastAsia="es-CO"/>
              </w:rPr>
              <w:t>posempleo</w:t>
            </w:r>
            <w:proofErr w:type="spellEnd"/>
            <w:r w:rsidRPr="000B0F0A">
              <w:rPr>
                <w:rFonts w:asciiTheme="minorHAnsi" w:hAnsiTheme="minorHAnsi" w:cstheme="minorHAnsi"/>
                <w:i/>
                <w:iCs/>
                <w:color w:val="000000"/>
                <w:sz w:val="16"/>
                <w:szCs w:val="16"/>
                <w:lang w:val="es-CO" w:eastAsia="es-CO"/>
              </w:rPr>
              <w:t xml:space="preserve"> y de los correspondientes a la terminación del vínculo laboral, que se hayan otorgado a los servidores públicos con vínculo laboral vigente y cuya obligación de pago no venza dentro de los 12 meses siguientes al cierre del periodo en el cual los empleados hayan prestado sus servicios.</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t xml:space="preserve">El Instituto Distrital de Recreación y Deporte - </w:t>
            </w:r>
            <w:proofErr w:type="spellStart"/>
            <w:r w:rsidRPr="000B0F0A">
              <w:rPr>
                <w:rFonts w:asciiTheme="minorHAnsi" w:hAnsiTheme="minorHAnsi" w:cstheme="minorHAnsi"/>
                <w:i/>
                <w:iCs/>
                <w:color w:val="000000"/>
                <w:sz w:val="16"/>
                <w:szCs w:val="16"/>
                <w:lang w:val="es-CO" w:eastAsia="es-CO"/>
              </w:rPr>
              <w:t>lDRD</w:t>
            </w:r>
            <w:proofErr w:type="spellEnd"/>
            <w:r w:rsidRPr="000B0F0A">
              <w:rPr>
                <w:rFonts w:asciiTheme="minorHAnsi" w:hAnsiTheme="minorHAnsi" w:cstheme="minorHAnsi"/>
                <w:i/>
                <w:iCs/>
                <w:color w:val="000000"/>
                <w:sz w:val="16"/>
                <w:szCs w:val="16"/>
                <w:lang w:val="es-CO" w:eastAsia="es-CO"/>
              </w:rPr>
              <w:t>, reconoce como beneficios a empleados a largo plazo: -Reconocimiento</w:t>
            </w:r>
            <w:r w:rsidR="007C4117">
              <w:rPr>
                <w:rFonts w:asciiTheme="minorHAnsi" w:hAnsiTheme="minorHAnsi" w:cstheme="minorHAnsi"/>
                <w:i/>
                <w:iCs/>
                <w:color w:val="000000"/>
                <w:sz w:val="16"/>
                <w:szCs w:val="16"/>
                <w:lang w:val="es-CO" w:eastAsia="es-CO"/>
              </w:rPr>
              <w:t xml:space="preserve"> por permanencia. -Quinquenio."</w:t>
            </w:r>
            <w:r w:rsidRPr="000B0F0A">
              <w:rPr>
                <w:rFonts w:asciiTheme="minorHAnsi" w:hAnsiTheme="minorHAnsi" w:cstheme="minorHAnsi"/>
                <w:i/>
                <w:iCs/>
                <w:color w:val="000000"/>
                <w:sz w:val="16"/>
                <w:szCs w:val="16"/>
                <w:lang w:val="es-CO" w:eastAsia="es-CO"/>
              </w:rPr>
              <w:br/>
              <w:t>Los beneficios a los empleados a largo plazo se reconocen como un gasto y como un pasivo cuando el Instituto Distrital de Recreación y Deporte - IDRD, consuma el beneficio económico o el potencial de servicio procedente del servicio prestado por el empleado a cambio de los beneficios otorgados.</w:t>
            </w:r>
          </w:p>
        </w:tc>
        <w:tc>
          <w:tcPr>
            <w:tcW w:w="1276" w:type="dxa"/>
            <w:tcBorders>
              <w:top w:val="nil"/>
              <w:left w:val="nil"/>
              <w:bottom w:val="single" w:sz="4" w:space="0" w:color="auto"/>
              <w:right w:val="single" w:sz="4" w:space="0" w:color="auto"/>
            </w:tcBorders>
            <w:shd w:val="clear" w:color="auto" w:fill="auto"/>
            <w:vAlign w:val="center"/>
            <w:hideMark/>
          </w:tcPr>
          <w:p w14:paraId="6DE98F35" w14:textId="5E499996"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Nómina</w:t>
            </w:r>
          </w:p>
        </w:tc>
        <w:tc>
          <w:tcPr>
            <w:tcW w:w="1984" w:type="dxa"/>
            <w:tcBorders>
              <w:top w:val="nil"/>
              <w:left w:val="nil"/>
              <w:bottom w:val="single" w:sz="4" w:space="0" w:color="auto"/>
              <w:right w:val="single" w:sz="4" w:space="0" w:color="auto"/>
            </w:tcBorders>
            <w:shd w:val="clear" w:color="auto" w:fill="auto"/>
            <w:vAlign w:val="center"/>
            <w:hideMark/>
          </w:tcPr>
          <w:p w14:paraId="3427C596"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Quince primeros días del mes de enero</w:t>
            </w:r>
          </w:p>
        </w:tc>
        <w:tc>
          <w:tcPr>
            <w:tcW w:w="1559" w:type="dxa"/>
            <w:tcBorders>
              <w:top w:val="nil"/>
              <w:left w:val="nil"/>
              <w:bottom w:val="single" w:sz="4" w:space="0" w:color="auto"/>
              <w:right w:val="single" w:sz="4" w:space="0" w:color="auto"/>
            </w:tcBorders>
            <w:shd w:val="clear" w:color="auto" w:fill="auto"/>
            <w:vAlign w:val="center"/>
            <w:hideMark/>
          </w:tcPr>
          <w:p w14:paraId="74D3E388" w14:textId="370B6804" w:rsidR="00ED72C2" w:rsidRPr="000B0F0A" w:rsidRDefault="00F507BE" w:rsidP="00ED72C2">
            <w:pPr>
              <w:suppressAutoHyphens w:val="0"/>
              <w:autoSpaceDN/>
              <w:jc w:val="center"/>
              <w:textAlignment w:val="auto"/>
              <w:rPr>
                <w:rFonts w:asciiTheme="minorHAnsi" w:hAnsiTheme="minorHAnsi" w:cstheme="minorHAnsi"/>
                <w:sz w:val="16"/>
                <w:szCs w:val="16"/>
                <w:lang w:val="es-CO" w:eastAsia="es-CO"/>
              </w:rPr>
            </w:pPr>
            <w:r w:rsidRPr="005352D6">
              <w:rPr>
                <w:rFonts w:asciiTheme="minorHAnsi" w:hAnsiTheme="minorHAnsi" w:cstheme="minorHAnsi"/>
                <w:sz w:val="16"/>
                <w:szCs w:val="16"/>
                <w:lang w:val="es-CO" w:eastAsia="es-CO"/>
              </w:rPr>
              <w:t>20213000124263</w:t>
            </w:r>
          </w:p>
        </w:tc>
        <w:tc>
          <w:tcPr>
            <w:tcW w:w="993" w:type="dxa"/>
            <w:tcBorders>
              <w:top w:val="nil"/>
              <w:left w:val="nil"/>
              <w:bottom w:val="single" w:sz="4" w:space="0" w:color="auto"/>
              <w:right w:val="single" w:sz="4" w:space="0" w:color="auto"/>
            </w:tcBorders>
            <w:shd w:val="clear" w:color="auto" w:fill="92D050"/>
            <w:vAlign w:val="center"/>
            <w:hideMark/>
          </w:tcPr>
          <w:p w14:paraId="17458C7E" w14:textId="77777777" w:rsidR="00ED72C2"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w:t>
            </w:r>
            <w:r w:rsidR="0091635F">
              <w:rPr>
                <w:rFonts w:asciiTheme="minorHAnsi" w:hAnsiTheme="minorHAnsi" w:cstheme="minorHAnsi"/>
                <w:sz w:val="16"/>
                <w:szCs w:val="16"/>
                <w:lang w:val="es-CO" w:eastAsia="es-CO"/>
              </w:rPr>
              <w:t>SÍ</w:t>
            </w:r>
          </w:p>
          <w:p w14:paraId="7FCCC2A7" w14:textId="4609BDFB" w:rsidR="0091635F" w:rsidRPr="000B0F0A" w:rsidRDefault="0091635F"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p>
        </w:tc>
        <w:tc>
          <w:tcPr>
            <w:tcW w:w="4110" w:type="dxa"/>
            <w:tcBorders>
              <w:top w:val="nil"/>
              <w:left w:val="nil"/>
              <w:bottom w:val="single" w:sz="4" w:space="0" w:color="auto"/>
              <w:right w:val="single" w:sz="4" w:space="0" w:color="auto"/>
            </w:tcBorders>
            <w:shd w:val="clear" w:color="auto" w:fill="auto"/>
            <w:noWrap/>
            <w:vAlign w:val="center"/>
            <w:hideMark/>
          </w:tcPr>
          <w:p w14:paraId="46BA512A" w14:textId="0CDAE719" w:rsidR="001A4E55" w:rsidRDefault="00F61B7C" w:rsidP="00F507BE">
            <w:pPr>
              <w:shd w:val="clear" w:color="auto" w:fill="FFFFFF"/>
              <w:suppressAutoHyphens w:val="0"/>
              <w:autoSpaceDN/>
              <w:textAlignment w:val="auto"/>
              <w:rPr>
                <w:rFonts w:asciiTheme="minorHAnsi" w:hAnsiTheme="minorHAnsi" w:cstheme="minorHAnsi"/>
                <w:i/>
                <w:iCs/>
                <w:color w:val="000000"/>
                <w:sz w:val="16"/>
                <w:szCs w:val="16"/>
                <w:lang w:val="es-CO" w:eastAsia="es-CO"/>
              </w:rPr>
            </w:pPr>
            <w:r w:rsidRPr="00BC5B37">
              <w:rPr>
                <w:rFonts w:asciiTheme="minorHAnsi" w:hAnsiTheme="minorHAnsi" w:cstheme="minorHAnsi"/>
                <w:sz w:val="16"/>
                <w:szCs w:val="16"/>
                <w:lang w:val="es-CO" w:eastAsia="es-CO"/>
              </w:rPr>
              <w:t> </w:t>
            </w:r>
            <w:r>
              <w:rPr>
                <w:rFonts w:asciiTheme="minorHAnsi" w:hAnsiTheme="minorHAnsi" w:cstheme="minorHAnsi"/>
                <w:sz w:val="16"/>
                <w:szCs w:val="16"/>
                <w:lang w:val="es-CO" w:eastAsia="es-CO"/>
              </w:rPr>
              <w:t xml:space="preserve">La SAF informa que </w:t>
            </w:r>
            <w:r w:rsidR="001A4E55">
              <w:rPr>
                <w:rFonts w:asciiTheme="minorHAnsi" w:hAnsiTheme="minorHAnsi" w:cstheme="minorHAnsi"/>
                <w:i/>
                <w:iCs/>
                <w:color w:val="000000"/>
                <w:sz w:val="16"/>
                <w:szCs w:val="16"/>
                <w:lang w:val="es-CO" w:eastAsia="es-CO"/>
              </w:rPr>
              <w:t>“</w:t>
            </w:r>
            <w:r w:rsidR="001A4E55" w:rsidRPr="001A4E55">
              <w:rPr>
                <w:rFonts w:asciiTheme="minorHAnsi" w:hAnsiTheme="minorHAnsi" w:cstheme="minorHAnsi"/>
                <w:i/>
                <w:iCs/>
                <w:color w:val="000000"/>
                <w:sz w:val="16"/>
                <w:szCs w:val="16"/>
                <w:lang w:val="es-CO" w:eastAsia="es-CO"/>
              </w:rPr>
              <w:t>Acorde con la información solicitada se remite los siguientes soportes:</w:t>
            </w:r>
          </w:p>
          <w:p w14:paraId="6180D6F8" w14:textId="77777777" w:rsidR="001A4E55" w:rsidRDefault="001A4E55" w:rsidP="00F507BE">
            <w:pPr>
              <w:shd w:val="clear" w:color="auto" w:fill="FFFFFF"/>
              <w:suppressAutoHyphens w:val="0"/>
              <w:autoSpaceDN/>
              <w:textAlignment w:val="auto"/>
              <w:rPr>
                <w:rFonts w:asciiTheme="minorHAnsi" w:hAnsiTheme="minorHAnsi" w:cstheme="minorHAnsi"/>
                <w:i/>
                <w:iCs/>
                <w:color w:val="000000"/>
                <w:sz w:val="16"/>
                <w:szCs w:val="16"/>
                <w:lang w:val="es-CO" w:eastAsia="es-CO"/>
              </w:rPr>
            </w:pPr>
            <w:r w:rsidRPr="001A4E55">
              <w:rPr>
                <w:rFonts w:asciiTheme="minorHAnsi" w:hAnsiTheme="minorHAnsi" w:cstheme="minorHAnsi"/>
                <w:i/>
                <w:iCs/>
                <w:color w:val="000000"/>
                <w:sz w:val="16"/>
                <w:szCs w:val="16"/>
                <w:lang w:val="es-CO" w:eastAsia="es-CO"/>
              </w:rPr>
              <w:sym w:font="Symbol" w:char="F0B7"/>
            </w:r>
            <w:r w:rsidRPr="001A4E55">
              <w:rPr>
                <w:rFonts w:asciiTheme="minorHAnsi" w:hAnsiTheme="minorHAnsi" w:cstheme="minorHAnsi"/>
                <w:i/>
                <w:iCs/>
                <w:color w:val="000000"/>
                <w:sz w:val="16"/>
                <w:szCs w:val="16"/>
                <w:lang w:val="es-CO" w:eastAsia="es-CO"/>
              </w:rPr>
              <w:t xml:space="preserve"> Matriz Reconocimiento por permanencia vigencia 2020 </w:t>
            </w:r>
          </w:p>
          <w:p w14:paraId="236C90B1" w14:textId="77777777" w:rsidR="001A4E55" w:rsidRDefault="001A4E55" w:rsidP="00F507BE">
            <w:pPr>
              <w:shd w:val="clear" w:color="auto" w:fill="FFFFFF"/>
              <w:suppressAutoHyphens w:val="0"/>
              <w:autoSpaceDN/>
              <w:textAlignment w:val="auto"/>
              <w:rPr>
                <w:rFonts w:asciiTheme="minorHAnsi" w:hAnsiTheme="minorHAnsi" w:cstheme="minorHAnsi"/>
                <w:i/>
                <w:iCs/>
                <w:color w:val="000000"/>
                <w:sz w:val="16"/>
                <w:szCs w:val="16"/>
                <w:lang w:val="es-CO" w:eastAsia="es-CO"/>
              </w:rPr>
            </w:pPr>
            <w:r w:rsidRPr="001A4E55">
              <w:rPr>
                <w:rFonts w:asciiTheme="minorHAnsi" w:hAnsiTheme="minorHAnsi" w:cstheme="minorHAnsi"/>
                <w:i/>
                <w:iCs/>
                <w:color w:val="000000"/>
                <w:sz w:val="16"/>
                <w:szCs w:val="16"/>
                <w:lang w:val="es-CO" w:eastAsia="es-CO"/>
              </w:rPr>
              <w:sym w:font="Symbol" w:char="F0B7"/>
            </w:r>
            <w:r w:rsidRPr="001A4E55">
              <w:rPr>
                <w:rFonts w:asciiTheme="minorHAnsi" w:hAnsiTheme="minorHAnsi" w:cstheme="minorHAnsi"/>
                <w:i/>
                <w:iCs/>
                <w:color w:val="000000"/>
                <w:sz w:val="16"/>
                <w:szCs w:val="16"/>
                <w:lang w:val="es-CO" w:eastAsia="es-CO"/>
              </w:rPr>
              <w:t xml:space="preserve"> Matriz Quinquenio vigencia 2020 </w:t>
            </w:r>
          </w:p>
          <w:p w14:paraId="363E917C" w14:textId="77777777" w:rsidR="001A4E55" w:rsidRDefault="001A4E55" w:rsidP="00F507BE">
            <w:pPr>
              <w:shd w:val="clear" w:color="auto" w:fill="FFFFFF"/>
              <w:suppressAutoHyphens w:val="0"/>
              <w:autoSpaceDN/>
              <w:textAlignment w:val="auto"/>
              <w:rPr>
                <w:rFonts w:asciiTheme="minorHAnsi" w:hAnsiTheme="minorHAnsi" w:cstheme="minorHAnsi"/>
                <w:i/>
                <w:iCs/>
                <w:color w:val="000000"/>
                <w:sz w:val="16"/>
                <w:szCs w:val="16"/>
                <w:lang w:val="es-CO" w:eastAsia="es-CO"/>
              </w:rPr>
            </w:pPr>
            <w:r w:rsidRPr="001A4E55">
              <w:rPr>
                <w:rFonts w:asciiTheme="minorHAnsi" w:hAnsiTheme="minorHAnsi" w:cstheme="minorHAnsi"/>
                <w:i/>
                <w:iCs/>
                <w:color w:val="000000"/>
                <w:sz w:val="16"/>
                <w:szCs w:val="16"/>
                <w:lang w:val="es-CO" w:eastAsia="es-CO"/>
              </w:rPr>
              <w:sym w:font="Symbol" w:char="F0B7"/>
            </w:r>
            <w:r w:rsidRPr="001A4E55">
              <w:rPr>
                <w:rFonts w:asciiTheme="minorHAnsi" w:hAnsiTheme="minorHAnsi" w:cstheme="minorHAnsi"/>
                <w:i/>
                <w:iCs/>
                <w:color w:val="000000"/>
                <w:sz w:val="16"/>
                <w:szCs w:val="16"/>
                <w:lang w:val="es-CO" w:eastAsia="es-CO"/>
              </w:rPr>
              <w:t xml:space="preserve"> Correo remitido al área de Contabilidad de la Matriz Reconocimiento por permanencia vigencia 2020 </w:t>
            </w:r>
          </w:p>
          <w:p w14:paraId="168DCB7A" w14:textId="77777777" w:rsidR="001A4E55" w:rsidRDefault="001A4E55" w:rsidP="00F507BE">
            <w:pPr>
              <w:shd w:val="clear" w:color="auto" w:fill="FFFFFF"/>
              <w:suppressAutoHyphens w:val="0"/>
              <w:autoSpaceDN/>
              <w:textAlignment w:val="auto"/>
              <w:rPr>
                <w:rFonts w:asciiTheme="minorHAnsi" w:hAnsiTheme="minorHAnsi" w:cstheme="minorHAnsi"/>
                <w:i/>
                <w:iCs/>
                <w:color w:val="000000"/>
                <w:sz w:val="16"/>
                <w:szCs w:val="16"/>
                <w:lang w:val="es-CO" w:eastAsia="es-CO"/>
              </w:rPr>
            </w:pPr>
            <w:r w:rsidRPr="001A4E55">
              <w:rPr>
                <w:rFonts w:asciiTheme="minorHAnsi" w:hAnsiTheme="minorHAnsi" w:cstheme="minorHAnsi"/>
                <w:i/>
                <w:iCs/>
                <w:color w:val="000000"/>
                <w:sz w:val="16"/>
                <w:szCs w:val="16"/>
                <w:lang w:val="es-CO" w:eastAsia="es-CO"/>
              </w:rPr>
              <w:sym w:font="Symbol" w:char="F0B7"/>
            </w:r>
            <w:r w:rsidRPr="001A4E55">
              <w:rPr>
                <w:rFonts w:asciiTheme="minorHAnsi" w:hAnsiTheme="minorHAnsi" w:cstheme="minorHAnsi"/>
                <w:i/>
                <w:iCs/>
                <w:color w:val="000000"/>
                <w:sz w:val="16"/>
                <w:szCs w:val="16"/>
                <w:lang w:val="es-CO" w:eastAsia="es-CO"/>
              </w:rPr>
              <w:t xml:space="preserve"> Correo remitido al área de Contabilidad de la Matriz Quinquenio vigencia 2020 </w:t>
            </w:r>
          </w:p>
          <w:p w14:paraId="6D547062" w14:textId="19601838" w:rsidR="00ED72C2" w:rsidRPr="000B0F0A" w:rsidRDefault="001A4E55" w:rsidP="00F507BE">
            <w:pPr>
              <w:shd w:val="clear" w:color="auto" w:fill="FFFFFF"/>
              <w:suppressAutoHyphens w:val="0"/>
              <w:autoSpaceDN/>
              <w:textAlignment w:val="auto"/>
              <w:rPr>
                <w:rFonts w:asciiTheme="minorHAnsi" w:hAnsiTheme="minorHAnsi" w:cstheme="minorHAnsi"/>
                <w:sz w:val="16"/>
                <w:szCs w:val="16"/>
                <w:lang w:val="es-CO" w:eastAsia="es-CO"/>
              </w:rPr>
            </w:pPr>
            <w:r w:rsidRPr="001A4E55">
              <w:rPr>
                <w:rFonts w:asciiTheme="minorHAnsi" w:hAnsiTheme="minorHAnsi" w:cstheme="minorHAnsi"/>
                <w:i/>
                <w:iCs/>
                <w:color w:val="000000"/>
                <w:sz w:val="16"/>
                <w:szCs w:val="16"/>
                <w:lang w:val="es-CO" w:eastAsia="es-CO"/>
              </w:rPr>
              <w:sym w:font="Symbol" w:char="F0B7"/>
            </w:r>
            <w:r w:rsidRPr="001A4E55">
              <w:rPr>
                <w:rFonts w:asciiTheme="minorHAnsi" w:hAnsiTheme="minorHAnsi" w:cstheme="minorHAnsi"/>
                <w:i/>
                <w:iCs/>
                <w:color w:val="000000"/>
                <w:sz w:val="16"/>
                <w:szCs w:val="16"/>
                <w:lang w:val="es-CO" w:eastAsia="es-CO"/>
              </w:rPr>
              <w:t xml:space="preserve"> Memorando radicado No. 20213110039413 de fecha 3 de febrero en el que se remite al área de Contabilidad las matrices de Reconocimiento y Medición de los beneficios por permanencia a empleados y quinquenios”</w:t>
            </w:r>
            <w:r w:rsidR="00F507BE" w:rsidRPr="001A4E55">
              <w:rPr>
                <w:rFonts w:asciiTheme="minorHAnsi" w:hAnsiTheme="minorHAnsi" w:cstheme="minorHAnsi"/>
                <w:i/>
                <w:iCs/>
                <w:color w:val="000000"/>
                <w:sz w:val="16"/>
                <w:szCs w:val="16"/>
                <w:lang w:val="es-CO" w:eastAsia="es-CO"/>
              </w:rPr>
              <w:t>.</w:t>
            </w:r>
          </w:p>
        </w:tc>
        <w:tc>
          <w:tcPr>
            <w:tcW w:w="3969" w:type="dxa"/>
            <w:tcBorders>
              <w:top w:val="nil"/>
              <w:left w:val="nil"/>
              <w:bottom w:val="single" w:sz="4" w:space="0" w:color="auto"/>
              <w:right w:val="single" w:sz="4" w:space="0" w:color="auto"/>
            </w:tcBorders>
            <w:shd w:val="clear" w:color="auto" w:fill="auto"/>
            <w:noWrap/>
            <w:vAlign w:val="center"/>
            <w:hideMark/>
          </w:tcPr>
          <w:p w14:paraId="7FC01681" w14:textId="4985A423" w:rsidR="00EC3E48" w:rsidRDefault="00C85B6C" w:rsidP="00F61B7C">
            <w:pPr>
              <w:suppressAutoHyphens w:val="0"/>
              <w:autoSpaceDN/>
              <w:textAlignment w:val="auto"/>
              <w:rPr>
                <w:rFonts w:asciiTheme="minorHAnsi" w:hAnsiTheme="minorHAnsi" w:cstheme="minorHAnsi"/>
                <w:sz w:val="16"/>
                <w:szCs w:val="16"/>
                <w:lang w:val="es-CO" w:eastAsia="es-CO"/>
              </w:rPr>
            </w:pPr>
            <w:r w:rsidRPr="00C85B6C">
              <w:rPr>
                <w:rFonts w:asciiTheme="minorHAnsi" w:hAnsiTheme="minorHAnsi" w:cstheme="minorHAnsi"/>
                <w:b/>
                <w:sz w:val="16"/>
                <w:szCs w:val="16"/>
                <w:lang w:val="es-CO" w:eastAsia="es-CO"/>
              </w:rPr>
              <w:t>INFORME PARA REVELACIONES</w:t>
            </w:r>
            <w:r>
              <w:rPr>
                <w:rFonts w:asciiTheme="minorHAnsi" w:hAnsiTheme="minorHAnsi" w:cstheme="minorHAnsi"/>
                <w:sz w:val="16"/>
                <w:szCs w:val="16"/>
                <w:lang w:val="es-CO" w:eastAsia="es-CO"/>
              </w:rPr>
              <w:t xml:space="preserve">: </w:t>
            </w:r>
            <w:r w:rsidR="001E335F">
              <w:rPr>
                <w:rFonts w:asciiTheme="minorHAnsi" w:hAnsiTheme="minorHAnsi" w:cstheme="minorHAnsi"/>
                <w:sz w:val="16"/>
                <w:szCs w:val="16"/>
                <w:lang w:val="es-CO" w:eastAsia="es-CO"/>
              </w:rPr>
              <w:t xml:space="preserve">Talento Humano, mediante correo electrónico del 25-ene-2021, remite el archivo de reconocimiento por Permanencia y </w:t>
            </w:r>
            <w:r w:rsidR="00EC3E48">
              <w:rPr>
                <w:rFonts w:asciiTheme="minorHAnsi" w:hAnsiTheme="minorHAnsi" w:cstheme="minorHAnsi"/>
                <w:sz w:val="16"/>
                <w:szCs w:val="16"/>
                <w:lang w:val="es-CO" w:eastAsia="es-CO"/>
              </w:rPr>
              <w:t xml:space="preserve">del </w:t>
            </w:r>
            <w:r w:rsidR="001E335F">
              <w:rPr>
                <w:rFonts w:asciiTheme="minorHAnsi" w:hAnsiTheme="minorHAnsi" w:cstheme="minorHAnsi"/>
                <w:sz w:val="16"/>
                <w:szCs w:val="16"/>
                <w:lang w:val="es-CO" w:eastAsia="es-CO"/>
              </w:rPr>
              <w:t>26-ene</w:t>
            </w:r>
            <w:r w:rsidR="00EC3E48">
              <w:rPr>
                <w:rFonts w:asciiTheme="minorHAnsi" w:hAnsiTheme="minorHAnsi" w:cstheme="minorHAnsi"/>
                <w:sz w:val="16"/>
                <w:szCs w:val="16"/>
                <w:lang w:val="es-CO" w:eastAsia="es-CO"/>
              </w:rPr>
              <w:t>-</w:t>
            </w:r>
          </w:p>
          <w:p w14:paraId="418E6C9B" w14:textId="6C652818" w:rsidR="001E335F" w:rsidRDefault="001E335F" w:rsidP="00F61B7C">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2021 el correspondiente a Quinquenio; adicionalmente, mediante radicado 20213110039413 del 03-feb-2021 remitió ambos archivos en físico.</w:t>
            </w:r>
          </w:p>
          <w:p w14:paraId="01EE936D" w14:textId="77777777" w:rsidR="001E335F" w:rsidRDefault="001E335F" w:rsidP="00F61B7C">
            <w:pPr>
              <w:suppressAutoHyphens w:val="0"/>
              <w:autoSpaceDN/>
              <w:textAlignment w:val="auto"/>
              <w:rPr>
                <w:rFonts w:asciiTheme="minorHAnsi" w:hAnsiTheme="minorHAnsi" w:cstheme="minorHAnsi"/>
                <w:sz w:val="16"/>
                <w:szCs w:val="16"/>
                <w:lang w:val="es-CO" w:eastAsia="es-CO"/>
              </w:rPr>
            </w:pPr>
          </w:p>
          <w:p w14:paraId="5B685935" w14:textId="43A95125" w:rsidR="00ED72C2" w:rsidRPr="000B0F0A" w:rsidRDefault="001E335F" w:rsidP="00F61B7C">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Con base en lo anterior, se dio cumplimiento a la actividad definida en el PSC.</w:t>
            </w:r>
          </w:p>
        </w:tc>
      </w:tr>
      <w:tr w:rsidR="00E941AF" w:rsidRPr="000B0F0A" w14:paraId="16849D89" w14:textId="77777777" w:rsidTr="00EC5F4E">
        <w:trPr>
          <w:trHeight w:val="3339"/>
        </w:trPr>
        <w:tc>
          <w:tcPr>
            <w:tcW w:w="317" w:type="dxa"/>
            <w:vMerge w:val="restart"/>
            <w:tcBorders>
              <w:top w:val="nil"/>
              <w:left w:val="single" w:sz="4" w:space="0" w:color="auto"/>
              <w:right w:val="single" w:sz="4" w:space="0" w:color="auto"/>
            </w:tcBorders>
            <w:shd w:val="clear" w:color="auto" w:fill="auto"/>
            <w:vAlign w:val="center"/>
            <w:hideMark/>
          </w:tcPr>
          <w:p w14:paraId="4203551C"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lastRenderedPageBreak/>
              <w:t>12</w:t>
            </w:r>
          </w:p>
        </w:tc>
        <w:tc>
          <w:tcPr>
            <w:tcW w:w="954" w:type="dxa"/>
            <w:vMerge w:val="restart"/>
            <w:tcBorders>
              <w:top w:val="nil"/>
              <w:left w:val="nil"/>
              <w:right w:val="single" w:sz="4" w:space="0" w:color="auto"/>
            </w:tcBorders>
            <w:shd w:val="clear" w:color="auto" w:fill="auto"/>
            <w:vAlign w:val="center"/>
            <w:hideMark/>
          </w:tcPr>
          <w:p w14:paraId="14E4E2AC"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Convenios Interadministrativos</w:t>
            </w:r>
          </w:p>
        </w:tc>
        <w:tc>
          <w:tcPr>
            <w:tcW w:w="3969" w:type="dxa"/>
            <w:vMerge w:val="restart"/>
            <w:tcBorders>
              <w:top w:val="nil"/>
              <w:left w:val="nil"/>
              <w:right w:val="single" w:sz="4" w:space="0" w:color="auto"/>
            </w:tcBorders>
            <w:shd w:val="clear" w:color="auto" w:fill="auto"/>
            <w:vAlign w:val="center"/>
            <w:hideMark/>
          </w:tcPr>
          <w:p w14:paraId="2BD8AF9C" w14:textId="7351BECA" w:rsidR="00E941AF" w:rsidRPr="000B0F0A" w:rsidRDefault="00E941AF" w:rsidP="00ED72C2">
            <w:pPr>
              <w:suppressAutoHyphens w:val="0"/>
              <w:autoSpaceDN/>
              <w:spacing w:after="240"/>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Enviar a Contabilidad los documentos soportes correspondientes a la legalización de los recursos que se han entregado o recibido en administración, en virtud de los diferentes convenios que suscribe el Instituto.</w:t>
            </w:r>
            <w:r w:rsidRPr="000B0F0A">
              <w:rPr>
                <w:rFonts w:asciiTheme="minorHAnsi" w:hAnsiTheme="minorHAnsi" w:cstheme="minorHAnsi"/>
                <w:sz w:val="16"/>
                <w:szCs w:val="16"/>
                <w:lang w:val="es-CO" w:eastAsia="es-CO"/>
              </w:rPr>
              <w:br/>
              <w:t>1.</w:t>
            </w:r>
            <w:r w:rsidRPr="000B0F0A">
              <w:rPr>
                <w:rFonts w:asciiTheme="minorHAnsi" w:hAnsiTheme="minorHAnsi" w:cstheme="minorHAnsi"/>
                <w:b/>
                <w:bCs/>
                <w:sz w:val="16"/>
                <w:szCs w:val="16"/>
                <w:lang w:val="es-CO" w:eastAsia="es-CO"/>
              </w:rPr>
              <w:t xml:space="preserve">Para los recursos recibidos en administración: </w:t>
            </w:r>
            <w:r w:rsidRPr="000B0F0A">
              <w:rPr>
                <w:rFonts w:asciiTheme="minorHAnsi" w:hAnsiTheme="minorHAnsi" w:cstheme="minorHAnsi"/>
                <w:sz w:val="16"/>
                <w:szCs w:val="16"/>
                <w:lang w:val="es-CO" w:eastAsia="es-CO"/>
              </w:rPr>
              <w:t xml:space="preserve">                                                                                                                                                                                                                                                                                                                    a) El área supervisora del convenio deberá informar cuando esto ocurra, los pagos o abonos en cuenta que el IDRD ha recibido en virtud del convenio, </w:t>
            </w:r>
            <w:r w:rsidR="008845F6" w:rsidRPr="000B0F0A">
              <w:rPr>
                <w:rFonts w:asciiTheme="minorHAnsi" w:hAnsiTheme="minorHAnsi" w:cstheme="minorHAnsi"/>
                <w:sz w:val="16"/>
                <w:szCs w:val="16"/>
                <w:lang w:val="es-CO" w:eastAsia="es-CO"/>
              </w:rPr>
              <w:t>el</w:t>
            </w:r>
            <w:r w:rsidRPr="000B0F0A">
              <w:rPr>
                <w:rFonts w:asciiTheme="minorHAnsi" w:hAnsiTheme="minorHAnsi" w:cstheme="minorHAnsi"/>
                <w:sz w:val="16"/>
                <w:szCs w:val="16"/>
                <w:lang w:val="es-CO" w:eastAsia="es-CO"/>
              </w:rPr>
              <w:t xml:space="preserve"> cual debe estar suscrito por el supervisor del convenio y el respectivo subdirector , en donde se detalle: número de orden de pago, fecha de la orden de pago, NIT o cédula del beneficiario del pago, concepto  y valor.                                                                                                                                                                                                                                                                                                                                                                                                                         b) Enviar a  Contabilidad mensualmente, una relación de los saldos de los convenios que se suscribieron al cierre del mes.</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 xml:space="preserve">2. </w:t>
            </w:r>
            <w:r w:rsidRPr="000B0F0A">
              <w:rPr>
                <w:rFonts w:asciiTheme="minorHAnsi" w:hAnsiTheme="minorHAnsi" w:cstheme="minorHAnsi"/>
                <w:b/>
                <w:bCs/>
                <w:sz w:val="16"/>
                <w:szCs w:val="16"/>
                <w:lang w:val="es-CO" w:eastAsia="es-CO"/>
              </w:rPr>
              <w:t>Para los recursos entregados en administración:</w:t>
            </w:r>
            <w:r w:rsidRPr="000B0F0A">
              <w:rPr>
                <w:rFonts w:asciiTheme="minorHAnsi" w:hAnsiTheme="minorHAnsi" w:cstheme="minorHAnsi"/>
                <w:sz w:val="16"/>
                <w:szCs w:val="16"/>
                <w:lang w:val="es-CO" w:eastAsia="es-CO"/>
              </w:rPr>
              <w:t xml:space="preserve"> </w:t>
            </w:r>
            <w:r w:rsidRPr="000B0F0A">
              <w:rPr>
                <w:rFonts w:asciiTheme="minorHAnsi" w:hAnsiTheme="minorHAnsi" w:cstheme="minorHAnsi"/>
                <w:sz w:val="16"/>
                <w:szCs w:val="16"/>
                <w:lang w:val="es-CO" w:eastAsia="es-CO"/>
              </w:rPr>
              <w:br/>
              <w:t>a) El área supervisora del convenio debe solicitar a la entidad  o empresa con la que suscribe el convenio, certificación firmada por contador público y/o director financiero, en la cual se informe los pagos o abonos en cuenta que se han generado por la ejecución de los recursos con el detalle del formato correspondiente.                                                                                                                                                                                                                                                  b) Enviar a  Contabilidad mensualmente, una relación de los saldos de los convenios que se suscribieron al cierre del mes por parte del supervisor y ordenador del gasto.</w:t>
            </w:r>
          </w:p>
        </w:tc>
        <w:tc>
          <w:tcPr>
            <w:tcW w:w="3544" w:type="dxa"/>
            <w:vMerge w:val="restart"/>
            <w:tcBorders>
              <w:top w:val="nil"/>
              <w:left w:val="nil"/>
              <w:right w:val="single" w:sz="4" w:space="0" w:color="auto"/>
            </w:tcBorders>
            <w:shd w:val="clear" w:color="auto" w:fill="auto"/>
            <w:vAlign w:val="center"/>
            <w:hideMark/>
          </w:tcPr>
          <w:p w14:paraId="32D5C652" w14:textId="77777777" w:rsidR="00E941AF" w:rsidRPr="000B0F0A" w:rsidRDefault="00E941AF" w:rsidP="00ED72C2">
            <w:pPr>
              <w:suppressAutoHyphens w:val="0"/>
              <w:autoSpaceDN/>
              <w:textAlignment w:val="auto"/>
              <w:rPr>
                <w:rFonts w:asciiTheme="minorHAnsi" w:hAnsiTheme="minorHAnsi" w:cstheme="minorHAnsi"/>
                <w:b/>
                <w:bCs/>
                <w:color w:val="000000"/>
                <w:sz w:val="16"/>
                <w:szCs w:val="16"/>
                <w:lang w:val="es-CO" w:eastAsia="es-CO"/>
              </w:rPr>
            </w:pPr>
            <w:bookmarkStart w:id="17" w:name="RANGE!E19"/>
            <w:r w:rsidRPr="000B0F0A">
              <w:rPr>
                <w:rFonts w:asciiTheme="minorHAnsi" w:hAnsiTheme="minorHAnsi" w:cstheme="minorHAnsi"/>
                <w:b/>
                <w:bCs/>
                <w:color w:val="000000"/>
                <w:sz w:val="16"/>
                <w:szCs w:val="16"/>
                <w:lang w:val="es-CO" w:eastAsia="es-CO"/>
              </w:rPr>
              <w:t>7.5.2    Operaciones Recíprocas</w:t>
            </w:r>
            <w:r w:rsidRPr="000B0F0A">
              <w:rPr>
                <w:rFonts w:asciiTheme="minorHAnsi" w:hAnsiTheme="minorHAnsi" w:cstheme="minorHAnsi"/>
                <w:b/>
                <w:bCs/>
                <w:color w:val="000000"/>
                <w:sz w:val="16"/>
                <w:szCs w:val="16"/>
                <w:lang w:val="es-CO" w:eastAsia="es-CO"/>
              </w:rPr>
              <w:br/>
            </w:r>
            <w:r w:rsidRPr="000B0F0A">
              <w:rPr>
                <w:rFonts w:asciiTheme="minorHAnsi" w:hAnsiTheme="minorHAnsi" w:cstheme="minorHAnsi"/>
                <w:b/>
                <w:bCs/>
                <w:color w:val="000000"/>
                <w:sz w:val="16"/>
                <w:szCs w:val="16"/>
                <w:lang w:val="es-CO" w:eastAsia="es-CO"/>
              </w:rPr>
              <w:br/>
            </w:r>
            <w:r w:rsidRPr="000B0F0A">
              <w:rPr>
                <w:rFonts w:asciiTheme="minorHAnsi" w:hAnsiTheme="minorHAnsi" w:cstheme="minorHAnsi"/>
                <w:color w:val="000000"/>
                <w:sz w:val="16"/>
                <w:szCs w:val="16"/>
                <w:lang w:val="es-CO" w:eastAsia="es-CO"/>
              </w:rPr>
              <w:t>La conciliación de las Operaciones Reciprocas con las entidades  del Distrito Capital,  y las entidades del nivel nacional se realizan en forma permanente y como mínimo trimestralmente y en todo caso cada vez que se reciba el informe de inconsistencias en operaciones reciprocas por parte de la Dirección Distrital de Contabilidad y/o la Contaduría General de la Nación.</w:t>
            </w:r>
            <w:bookmarkEnd w:id="17"/>
          </w:p>
        </w:tc>
        <w:tc>
          <w:tcPr>
            <w:tcW w:w="1276" w:type="dxa"/>
            <w:vMerge w:val="restart"/>
            <w:tcBorders>
              <w:top w:val="nil"/>
              <w:left w:val="nil"/>
              <w:right w:val="single" w:sz="4" w:space="0" w:color="auto"/>
            </w:tcBorders>
            <w:shd w:val="clear" w:color="auto" w:fill="auto"/>
            <w:vAlign w:val="center"/>
            <w:hideMark/>
          </w:tcPr>
          <w:p w14:paraId="4E25F8AD"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Subdirecciones</w:t>
            </w:r>
          </w:p>
        </w:tc>
        <w:tc>
          <w:tcPr>
            <w:tcW w:w="1984" w:type="dxa"/>
            <w:vMerge w:val="restart"/>
            <w:tcBorders>
              <w:top w:val="nil"/>
              <w:left w:val="nil"/>
              <w:right w:val="single" w:sz="4" w:space="0" w:color="auto"/>
            </w:tcBorders>
            <w:shd w:val="clear" w:color="auto" w:fill="auto"/>
            <w:vAlign w:val="center"/>
            <w:hideMark/>
          </w:tcPr>
          <w:p w14:paraId="21C1EA3A"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Mensualmente</w:t>
            </w:r>
          </w:p>
        </w:tc>
        <w:tc>
          <w:tcPr>
            <w:tcW w:w="1559" w:type="dxa"/>
            <w:tcBorders>
              <w:top w:val="nil"/>
              <w:left w:val="nil"/>
              <w:bottom w:val="single" w:sz="4" w:space="0" w:color="auto"/>
              <w:right w:val="single" w:sz="4" w:space="0" w:color="auto"/>
            </w:tcBorders>
            <w:shd w:val="clear" w:color="auto" w:fill="auto"/>
            <w:vAlign w:val="center"/>
            <w:hideMark/>
          </w:tcPr>
          <w:p w14:paraId="074B7CC2" w14:textId="77777777" w:rsidR="00E941AF" w:rsidRDefault="00E941AF"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STC</w:t>
            </w:r>
          </w:p>
          <w:p w14:paraId="274383B2" w14:textId="5E12D7E2"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r w:rsidRPr="00667485">
              <w:rPr>
                <w:rFonts w:asciiTheme="minorHAnsi" w:hAnsiTheme="minorHAnsi" w:cstheme="minorHAnsi"/>
                <w:sz w:val="16"/>
                <w:szCs w:val="16"/>
                <w:lang w:val="es-CO" w:eastAsia="es-CO"/>
              </w:rPr>
              <w:t>20211500110583</w:t>
            </w:r>
          </w:p>
        </w:tc>
        <w:tc>
          <w:tcPr>
            <w:tcW w:w="993" w:type="dxa"/>
            <w:vMerge w:val="restart"/>
            <w:tcBorders>
              <w:top w:val="nil"/>
              <w:left w:val="nil"/>
              <w:right w:val="single" w:sz="4" w:space="0" w:color="auto"/>
            </w:tcBorders>
            <w:shd w:val="clear" w:color="auto" w:fill="FFD966" w:themeFill="accent4" w:themeFillTint="99"/>
            <w:vAlign w:val="center"/>
            <w:hideMark/>
          </w:tcPr>
          <w:p w14:paraId="30EEADCF" w14:textId="5C7198C1" w:rsidR="00E941AF" w:rsidRDefault="00123F26"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PARCIAL</w:t>
            </w:r>
          </w:p>
          <w:p w14:paraId="64200839" w14:textId="0CFDF8B6" w:rsidR="003457AE" w:rsidRPr="000B0F0A" w:rsidRDefault="00123F26"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5</w:t>
            </w:r>
            <w:r w:rsidR="003457AE">
              <w:rPr>
                <w:rFonts w:asciiTheme="minorHAnsi" w:hAnsiTheme="minorHAnsi" w:cstheme="minorHAnsi"/>
                <w:sz w:val="16"/>
                <w:szCs w:val="16"/>
                <w:lang w:val="es-CO" w:eastAsia="es-CO"/>
              </w:rPr>
              <w:t>0%</w:t>
            </w:r>
          </w:p>
        </w:tc>
        <w:tc>
          <w:tcPr>
            <w:tcW w:w="4110" w:type="dxa"/>
            <w:tcBorders>
              <w:top w:val="nil"/>
              <w:left w:val="nil"/>
              <w:bottom w:val="single" w:sz="4" w:space="0" w:color="auto"/>
              <w:right w:val="single" w:sz="4" w:space="0" w:color="auto"/>
            </w:tcBorders>
            <w:shd w:val="clear" w:color="auto" w:fill="auto"/>
            <w:noWrap/>
            <w:vAlign w:val="center"/>
            <w:hideMark/>
          </w:tcPr>
          <w:p w14:paraId="4D619698" w14:textId="77777777" w:rsidR="00E941AF" w:rsidRDefault="00E941AF" w:rsidP="00ED72C2">
            <w:pPr>
              <w:suppressAutoHyphens w:val="0"/>
              <w:autoSpaceDN/>
              <w:jc w:val="left"/>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w:t>
            </w:r>
            <w:r>
              <w:rPr>
                <w:rFonts w:asciiTheme="minorHAnsi" w:hAnsiTheme="minorHAnsi" w:cstheme="minorHAnsi"/>
                <w:sz w:val="16"/>
                <w:szCs w:val="16"/>
                <w:lang w:val="es-CO" w:eastAsia="es-CO"/>
              </w:rPr>
              <w:t>La STC adjunta la siguiente información:</w:t>
            </w:r>
          </w:p>
          <w:p w14:paraId="7B655009" w14:textId="7F82CE68" w:rsidR="00E941AF" w:rsidRDefault="00E941AF" w:rsidP="00ED72C2">
            <w:pPr>
              <w:suppressAutoHyphens w:val="0"/>
              <w:autoSpaceDN/>
              <w:jc w:val="left"/>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Respecto del </w:t>
            </w:r>
            <w:r w:rsidRPr="00617D26">
              <w:rPr>
                <w:rFonts w:asciiTheme="minorHAnsi" w:hAnsiTheme="minorHAnsi" w:cstheme="minorHAnsi"/>
                <w:b/>
                <w:sz w:val="16"/>
                <w:szCs w:val="16"/>
                <w:lang w:val="es-CO" w:eastAsia="es-CO"/>
              </w:rPr>
              <w:t>convenio 3151 de</w:t>
            </w:r>
            <w:r w:rsidR="00526D37">
              <w:rPr>
                <w:rFonts w:asciiTheme="minorHAnsi" w:hAnsiTheme="minorHAnsi" w:cstheme="minorHAnsi"/>
                <w:b/>
                <w:sz w:val="16"/>
                <w:szCs w:val="16"/>
                <w:lang w:val="es-CO" w:eastAsia="es-CO"/>
              </w:rPr>
              <w:t xml:space="preserve"> </w:t>
            </w:r>
            <w:r w:rsidRPr="00617D26">
              <w:rPr>
                <w:rFonts w:asciiTheme="minorHAnsi" w:hAnsiTheme="minorHAnsi" w:cstheme="minorHAnsi"/>
                <w:b/>
                <w:sz w:val="16"/>
                <w:szCs w:val="16"/>
                <w:lang w:val="es-CO" w:eastAsia="es-CO"/>
              </w:rPr>
              <w:t>2019:</w:t>
            </w:r>
            <w:r>
              <w:rPr>
                <w:rFonts w:asciiTheme="minorHAnsi" w:hAnsiTheme="minorHAnsi" w:cstheme="minorHAnsi"/>
                <w:sz w:val="16"/>
                <w:szCs w:val="16"/>
                <w:lang w:val="es-CO" w:eastAsia="es-CO"/>
              </w:rPr>
              <w:t xml:space="preserve"> </w:t>
            </w:r>
          </w:p>
          <w:p w14:paraId="1CAE84BD" w14:textId="349DB2A8" w:rsidR="00E941AF" w:rsidRDefault="00E941AF" w:rsidP="00617D26">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Solicitud de información contable ERU</w:t>
            </w:r>
          </w:p>
          <w:p w14:paraId="23BED37C" w14:textId="28585A6B" w:rsidR="00E941AF" w:rsidRDefault="00E941AF" w:rsidP="00617D26">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Reiteración de información contable ERU</w:t>
            </w:r>
          </w:p>
          <w:p w14:paraId="7B04EB1F" w14:textId="236B5B3F" w:rsidR="00E941AF" w:rsidRDefault="00E941AF" w:rsidP="00617D26">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Respuesta de la ERU</w:t>
            </w:r>
          </w:p>
          <w:p w14:paraId="1D5E0F99" w14:textId="5ED7F045" w:rsidR="00E941AF" w:rsidRDefault="00E941AF" w:rsidP="00617D26">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Anexo 1</w:t>
            </w:r>
          </w:p>
          <w:p w14:paraId="75F245A8" w14:textId="55CB9C21" w:rsidR="00E941AF" w:rsidRDefault="00E941AF" w:rsidP="00617D26">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Memorando a contabilidad información del convenio 3151</w:t>
            </w:r>
          </w:p>
          <w:p w14:paraId="134A5250" w14:textId="47298845" w:rsidR="00E941AF" w:rsidRDefault="00E941AF" w:rsidP="00617D26">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Convenio interadministrativo 3151 de 2019</w:t>
            </w:r>
          </w:p>
          <w:p w14:paraId="523EAC82" w14:textId="77777777" w:rsidR="00E941AF" w:rsidRDefault="00E941AF" w:rsidP="002667A6">
            <w:pPr>
              <w:suppressAutoHyphens w:val="0"/>
              <w:autoSpaceDN/>
              <w:jc w:val="left"/>
              <w:textAlignment w:val="auto"/>
              <w:rPr>
                <w:rFonts w:asciiTheme="minorHAnsi" w:hAnsiTheme="minorHAnsi" w:cstheme="minorHAnsi"/>
                <w:sz w:val="16"/>
                <w:szCs w:val="16"/>
                <w:lang w:val="es-CO" w:eastAsia="es-CO"/>
              </w:rPr>
            </w:pPr>
          </w:p>
          <w:p w14:paraId="1940D378" w14:textId="4DB01F72" w:rsidR="00E941AF" w:rsidRDefault="00E941AF" w:rsidP="002667A6">
            <w:pPr>
              <w:suppressAutoHyphens w:val="0"/>
              <w:autoSpaceDN/>
              <w:jc w:val="left"/>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Respecto del </w:t>
            </w:r>
            <w:r>
              <w:rPr>
                <w:rFonts w:asciiTheme="minorHAnsi" w:hAnsiTheme="minorHAnsi" w:cstheme="minorHAnsi"/>
                <w:b/>
                <w:sz w:val="16"/>
                <w:szCs w:val="16"/>
                <w:lang w:val="es-CO" w:eastAsia="es-CO"/>
              </w:rPr>
              <w:t>convenio 3193</w:t>
            </w:r>
            <w:r w:rsidRPr="00617D26">
              <w:rPr>
                <w:rFonts w:asciiTheme="minorHAnsi" w:hAnsiTheme="minorHAnsi" w:cstheme="minorHAnsi"/>
                <w:b/>
                <w:sz w:val="16"/>
                <w:szCs w:val="16"/>
                <w:lang w:val="es-CO" w:eastAsia="es-CO"/>
              </w:rPr>
              <w:t xml:space="preserve"> de</w:t>
            </w:r>
            <w:r w:rsidR="00526D37">
              <w:rPr>
                <w:rFonts w:asciiTheme="minorHAnsi" w:hAnsiTheme="minorHAnsi" w:cstheme="minorHAnsi"/>
                <w:b/>
                <w:sz w:val="16"/>
                <w:szCs w:val="16"/>
                <w:lang w:val="es-CO" w:eastAsia="es-CO"/>
              </w:rPr>
              <w:t xml:space="preserve"> </w:t>
            </w:r>
            <w:r w:rsidRPr="00617D26">
              <w:rPr>
                <w:rFonts w:asciiTheme="minorHAnsi" w:hAnsiTheme="minorHAnsi" w:cstheme="minorHAnsi"/>
                <w:b/>
                <w:sz w:val="16"/>
                <w:szCs w:val="16"/>
                <w:lang w:val="es-CO" w:eastAsia="es-CO"/>
              </w:rPr>
              <w:t>2019:</w:t>
            </w:r>
            <w:r>
              <w:rPr>
                <w:rFonts w:asciiTheme="minorHAnsi" w:hAnsiTheme="minorHAnsi" w:cstheme="minorHAnsi"/>
                <w:sz w:val="16"/>
                <w:szCs w:val="16"/>
                <w:lang w:val="es-CO" w:eastAsia="es-CO"/>
              </w:rPr>
              <w:t xml:space="preserve"> </w:t>
            </w:r>
          </w:p>
          <w:p w14:paraId="66FD589D" w14:textId="1446FB05" w:rsidR="00E941AF" w:rsidRDefault="00E941AF" w:rsidP="002667A6">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Solicitud de información contable IDPC</w:t>
            </w:r>
          </w:p>
          <w:p w14:paraId="2C2BA90F" w14:textId="77777777" w:rsidR="00E941AF" w:rsidRDefault="00E941AF" w:rsidP="002667A6">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Respuesta de la ERU</w:t>
            </w:r>
          </w:p>
          <w:p w14:paraId="72107B49" w14:textId="123E7FCA" w:rsidR="00E941AF" w:rsidRDefault="00E941AF" w:rsidP="002667A6">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Respuesta del IDPC información contable</w:t>
            </w:r>
          </w:p>
          <w:p w14:paraId="7D56A0D8" w14:textId="02BAF4B9" w:rsidR="00E941AF" w:rsidRDefault="00E941AF" w:rsidP="002667A6">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Certificación de pagos realizados IDPC - IDRD</w:t>
            </w:r>
          </w:p>
          <w:p w14:paraId="3BE85444" w14:textId="0F5472D0" w:rsidR="00E941AF" w:rsidRPr="00CF2D40" w:rsidRDefault="00E941AF" w:rsidP="00CF2D40">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w:t>
            </w:r>
            <w:r>
              <w:t xml:space="preserve"> </w:t>
            </w:r>
            <w:r>
              <w:rPr>
                <w:rFonts w:asciiTheme="minorHAnsi" w:hAnsiTheme="minorHAnsi" w:cstheme="minorHAnsi"/>
                <w:bCs/>
                <w:sz w:val="16"/>
                <w:szCs w:val="16"/>
                <w:lang w:val="es-CO" w:eastAsia="es-CO"/>
              </w:rPr>
              <w:t>Memorando a contabilidad información del convenio 3193, entre otros documentos.</w:t>
            </w:r>
          </w:p>
        </w:tc>
        <w:tc>
          <w:tcPr>
            <w:tcW w:w="3969" w:type="dxa"/>
            <w:vMerge w:val="restart"/>
            <w:tcBorders>
              <w:top w:val="nil"/>
              <w:left w:val="nil"/>
              <w:right w:val="single" w:sz="4" w:space="0" w:color="auto"/>
            </w:tcBorders>
            <w:shd w:val="clear" w:color="auto" w:fill="auto"/>
            <w:noWrap/>
            <w:vAlign w:val="center"/>
            <w:hideMark/>
          </w:tcPr>
          <w:p w14:paraId="18E24B3E" w14:textId="32448B9B" w:rsidR="00E941AF" w:rsidRDefault="00E941AF" w:rsidP="00441B6A">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Una vez revisada la Nota ‘24.1 </w:t>
            </w:r>
            <w:r w:rsidRPr="001C42ED">
              <w:rPr>
                <w:rFonts w:asciiTheme="minorHAnsi" w:hAnsiTheme="minorHAnsi" w:cstheme="minorHAnsi"/>
                <w:i/>
                <w:sz w:val="16"/>
                <w:szCs w:val="16"/>
                <w:lang w:val="es-CO" w:eastAsia="es-CO"/>
              </w:rPr>
              <w:t>Desglose-subcuentas otros</w:t>
            </w:r>
            <w:r>
              <w:rPr>
                <w:rFonts w:asciiTheme="minorHAnsi" w:hAnsiTheme="minorHAnsi" w:cstheme="minorHAnsi"/>
                <w:i/>
                <w:sz w:val="16"/>
                <w:szCs w:val="16"/>
                <w:lang w:val="es-CO" w:eastAsia="es-CO"/>
              </w:rPr>
              <w:t>’</w:t>
            </w:r>
            <w:r>
              <w:rPr>
                <w:rFonts w:asciiTheme="minorHAnsi" w:hAnsiTheme="minorHAnsi" w:cstheme="minorHAnsi"/>
                <w:sz w:val="16"/>
                <w:szCs w:val="16"/>
                <w:lang w:val="es-CO" w:eastAsia="es-CO"/>
              </w:rPr>
              <w:t xml:space="preserve"> de los Estados Financieros 2020, en la que se discrimina los recursos recibidos en administración, se observan convenios interadministrativos de los cuales no se aportó evidencia sobre la ejecución de la actividad del PSC.</w:t>
            </w:r>
          </w:p>
          <w:p w14:paraId="465C9413" w14:textId="0AAC99AC" w:rsidR="00E941AF" w:rsidRPr="00E941AF" w:rsidRDefault="00E941AF" w:rsidP="00441B6A">
            <w:pPr>
              <w:suppressAutoHyphens w:val="0"/>
              <w:autoSpaceDN/>
              <w:textAlignment w:val="auto"/>
              <w:rPr>
                <w:rFonts w:asciiTheme="minorHAnsi" w:hAnsiTheme="minorHAnsi" w:cstheme="minorHAnsi"/>
                <w:sz w:val="12"/>
                <w:szCs w:val="12"/>
                <w:lang w:val="es-CO" w:eastAsia="es-CO"/>
              </w:rPr>
            </w:pPr>
          </w:p>
          <w:p w14:paraId="1A90163B" w14:textId="6F3ADC5A" w:rsidR="00E941AF" w:rsidRDefault="00E941AF" w:rsidP="00441B6A">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En relación con los recursos entregados en administración, fue allegada información con corte a nov-2020, así:</w:t>
            </w:r>
          </w:p>
          <w:p w14:paraId="40245F28" w14:textId="77777777" w:rsidR="00E941AF" w:rsidRPr="00E941AF" w:rsidRDefault="00E941AF" w:rsidP="00441B6A">
            <w:pPr>
              <w:suppressAutoHyphens w:val="0"/>
              <w:autoSpaceDN/>
              <w:textAlignment w:val="auto"/>
              <w:rPr>
                <w:rFonts w:asciiTheme="minorHAnsi" w:hAnsiTheme="minorHAnsi" w:cstheme="minorHAnsi"/>
                <w:sz w:val="12"/>
                <w:szCs w:val="12"/>
                <w:lang w:val="es-CO" w:eastAsia="es-CO"/>
              </w:rPr>
            </w:pPr>
          </w:p>
          <w:p w14:paraId="29B7DDD0" w14:textId="08F91193" w:rsidR="00E941AF" w:rsidRDefault="00E941AF" w:rsidP="00441B6A">
            <w:pPr>
              <w:suppressAutoHyphens w:val="0"/>
              <w:autoSpaceDN/>
              <w:textAlignment w:val="auto"/>
              <w:rPr>
                <w:rFonts w:asciiTheme="minorHAnsi" w:hAnsiTheme="minorHAnsi" w:cstheme="minorHAnsi"/>
                <w:sz w:val="16"/>
                <w:szCs w:val="16"/>
                <w:lang w:val="es-CO" w:eastAsia="es-CO"/>
              </w:rPr>
            </w:pPr>
            <w:r w:rsidRPr="002B0B25">
              <w:rPr>
                <w:rFonts w:asciiTheme="minorHAnsi" w:hAnsiTheme="minorHAnsi" w:cstheme="minorHAnsi"/>
                <w:sz w:val="16"/>
                <w:szCs w:val="16"/>
                <w:lang w:val="es-CO" w:eastAsia="es-CO"/>
              </w:rPr>
              <w:t xml:space="preserve">• </w:t>
            </w:r>
            <w:r>
              <w:rPr>
                <w:rFonts w:asciiTheme="minorHAnsi" w:hAnsiTheme="minorHAnsi" w:cstheme="minorHAnsi"/>
                <w:sz w:val="16"/>
                <w:szCs w:val="16"/>
                <w:lang w:val="es-CO" w:eastAsia="es-CO"/>
              </w:rPr>
              <w:t>C</w:t>
            </w:r>
            <w:r w:rsidRPr="002B0B25">
              <w:rPr>
                <w:rFonts w:asciiTheme="minorHAnsi" w:hAnsiTheme="minorHAnsi" w:cstheme="minorHAnsi"/>
                <w:sz w:val="16"/>
                <w:szCs w:val="16"/>
                <w:lang w:val="es-CO" w:eastAsia="es-CO"/>
              </w:rPr>
              <w:t>onvenio 3151 de</w:t>
            </w:r>
            <w:r>
              <w:rPr>
                <w:rFonts w:asciiTheme="minorHAnsi" w:hAnsiTheme="minorHAnsi" w:cstheme="minorHAnsi"/>
                <w:sz w:val="16"/>
                <w:szCs w:val="16"/>
                <w:lang w:val="es-CO" w:eastAsia="es-CO"/>
              </w:rPr>
              <w:t xml:space="preserve"> </w:t>
            </w:r>
            <w:r w:rsidRPr="002B0B25">
              <w:rPr>
                <w:rFonts w:asciiTheme="minorHAnsi" w:hAnsiTheme="minorHAnsi" w:cstheme="minorHAnsi"/>
                <w:sz w:val="16"/>
                <w:szCs w:val="16"/>
                <w:lang w:val="es-CO" w:eastAsia="es-CO"/>
              </w:rPr>
              <w:t xml:space="preserve">2019: </w:t>
            </w:r>
            <w:r w:rsidRPr="00B4462B">
              <w:rPr>
                <w:rFonts w:asciiTheme="minorHAnsi" w:hAnsiTheme="minorHAnsi" w:cstheme="minorHAnsi"/>
                <w:sz w:val="16"/>
                <w:szCs w:val="16"/>
                <w:lang w:val="es-CO" w:eastAsia="es-CO"/>
              </w:rPr>
              <w:t>Mediante radicado 20204100122741 del 15</w:t>
            </w:r>
            <w:r>
              <w:rPr>
                <w:rFonts w:asciiTheme="minorHAnsi" w:hAnsiTheme="minorHAnsi" w:cstheme="minorHAnsi"/>
                <w:sz w:val="16"/>
                <w:szCs w:val="16"/>
                <w:lang w:val="es-CO" w:eastAsia="es-CO"/>
              </w:rPr>
              <w:t>-oct-2020</w:t>
            </w:r>
            <w:r w:rsidRPr="00B4462B">
              <w:rPr>
                <w:rFonts w:asciiTheme="minorHAnsi" w:hAnsiTheme="minorHAnsi" w:cstheme="minorHAnsi"/>
                <w:sz w:val="16"/>
                <w:szCs w:val="16"/>
                <w:lang w:val="es-CO" w:eastAsia="es-CO"/>
              </w:rPr>
              <w:t xml:space="preserve"> la STC solicita a la Supervisora de</w:t>
            </w:r>
            <w:r>
              <w:rPr>
                <w:rFonts w:asciiTheme="minorHAnsi" w:hAnsiTheme="minorHAnsi" w:cstheme="minorHAnsi"/>
                <w:sz w:val="16"/>
                <w:szCs w:val="16"/>
                <w:lang w:val="es-CO" w:eastAsia="es-CO"/>
              </w:rPr>
              <w:t xml:space="preserve"> dicho</w:t>
            </w:r>
            <w:r w:rsidRPr="00B4462B">
              <w:rPr>
                <w:rFonts w:asciiTheme="minorHAnsi" w:hAnsiTheme="minorHAnsi" w:cstheme="minorHAnsi"/>
                <w:sz w:val="16"/>
                <w:szCs w:val="16"/>
                <w:lang w:val="es-CO" w:eastAsia="es-CO"/>
              </w:rPr>
              <w:t xml:space="preserve"> convenio</w:t>
            </w:r>
            <w:r>
              <w:rPr>
                <w:rFonts w:asciiTheme="minorHAnsi" w:hAnsiTheme="minorHAnsi" w:cstheme="minorHAnsi"/>
                <w:sz w:val="16"/>
                <w:szCs w:val="16"/>
                <w:lang w:val="es-CO" w:eastAsia="es-CO"/>
              </w:rPr>
              <w:t xml:space="preserve"> la correspondiente </w:t>
            </w:r>
            <w:r w:rsidRPr="002B0B25">
              <w:rPr>
                <w:rFonts w:asciiTheme="minorHAnsi" w:hAnsiTheme="minorHAnsi" w:cstheme="minorHAnsi"/>
                <w:sz w:val="16"/>
                <w:szCs w:val="16"/>
                <w:lang w:val="es-CO" w:eastAsia="es-CO"/>
              </w:rPr>
              <w:t xml:space="preserve">certificación firmada por el contador público y/o director financiero, </w:t>
            </w:r>
            <w:r>
              <w:rPr>
                <w:rFonts w:asciiTheme="minorHAnsi" w:hAnsiTheme="minorHAnsi" w:cstheme="minorHAnsi"/>
                <w:sz w:val="16"/>
                <w:szCs w:val="16"/>
                <w:lang w:val="es-CO" w:eastAsia="es-CO"/>
              </w:rPr>
              <w:t>debidamente discriminada.</w:t>
            </w:r>
            <w:r w:rsidRPr="00B4462B">
              <w:rPr>
                <w:rFonts w:asciiTheme="minorHAnsi" w:hAnsiTheme="minorHAnsi" w:cstheme="minorHAnsi"/>
                <w:sz w:val="16"/>
                <w:szCs w:val="16"/>
                <w:lang w:val="es-CO" w:eastAsia="es-CO"/>
              </w:rPr>
              <w:t xml:space="preserve"> Solicitud reiterada mediante memorando 20204100154741 del 18</w:t>
            </w:r>
            <w:r>
              <w:rPr>
                <w:rFonts w:asciiTheme="minorHAnsi" w:hAnsiTheme="minorHAnsi" w:cstheme="minorHAnsi"/>
                <w:sz w:val="16"/>
                <w:szCs w:val="16"/>
                <w:lang w:val="es-CO" w:eastAsia="es-CO"/>
              </w:rPr>
              <w:t>-nov-2020</w:t>
            </w:r>
            <w:r w:rsidRPr="00B4462B">
              <w:rPr>
                <w:rFonts w:asciiTheme="minorHAnsi" w:hAnsiTheme="minorHAnsi" w:cstheme="minorHAnsi"/>
                <w:sz w:val="16"/>
                <w:szCs w:val="16"/>
                <w:lang w:val="es-CO" w:eastAsia="es-CO"/>
              </w:rPr>
              <w:t>.</w:t>
            </w:r>
          </w:p>
          <w:p w14:paraId="0CEDA668" w14:textId="77777777" w:rsidR="00E941AF" w:rsidRPr="00E941AF" w:rsidRDefault="00E941AF" w:rsidP="00441B6A">
            <w:pPr>
              <w:suppressAutoHyphens w:val="0"/>
              <w:autoSpaceDN/>
              <w:textAlignment w:val="auto"/>
              <w:rPr>
                <w:rFonts w:asciiTheme="minorHAnsi" w:hAnsiTheme="minorHAnsi" w:cstheme="minorHAnsi"/>
                <w:sz w:val="12"/>
                <w:szCs w:val="12"/>
                <w:lang w:val="es-CO" w:eastAsia="es-CO"/>
              </w:rPr>
            </w:pPr>
          </w:p>
          <w:p w14:paraId="44A81336" w14:textId="7011081E" w:rsidR="00E941AF" w:rsidRPr="00B4462B" w:rsidRDefault="00E941AF" w:rsidP="00441B6A">
            <w:pPr>
              <w:suppressAutoHyphens w:val="0"/>
              <w:autoSpaceDN/>
              <w:textAlignment w:val="auto"/>
              <w:rPr>
                <w:rFonts w:asciiTheme="minorHAnsi" w:hAnsiTheme="minorHAnsi" w:cstheme="minorHAnsi"/>
                <w:sz w:val="16"/>
                <w:szCs w:val="16"/>
                <w:lang w:val="es-CO" w:eastAsia="es-CO"/>
              </w:rPr>
            </w:pPr>
            <w:r w:rsidRPr="00B4462B">
              <w:rPr>
                <w:rFonts w:asciiTheme="minorHAnsi" w:hAnsiTheme="minorHAnsi" w:cstheme="minorHAnsi"/>
                <w:sz w:val="16"/>
                <w:szCs w:val="16"/>
                <w:lang w:val="es-CO" w:eastAsia="es-CO"/>
              </w:rPr>
              <w:t>Mediante Memorando 20214100023263 del 21</w:t>
            </w:r>
            <w:r w:rsidR="00526D37">
              <w:rPr>
                <w:rFonts w:asciiTheme="minorHAnsi" w:hAnsiTheme="minorHAnsi" w:cstheme="minorHAnsi"/>
                <w:sz w:val="16"/>
                <w:szCs w:val="16"/>
                <w:lang w:val="es-CO" w:eastAsia="es-CO"/>
              </w:rPr>
              <w:t>-ene</w:t>
            </w:r>
            <w:r>
              <w:rPr>
                <w:rFonts w:asciiTheme="minorHAnsi" w:hAnsiTheme="minorHAnsi" w:cstheme="minorHAnsi"/>
                <w:sz w:val="16"/>
                <w:szCs w:val="16"/>
                <w:lang w:val="es-CO" w:eastAsia="es-CO"/>
              </w:rPr>
              <w:t>-2021</w:t>
            </w:r>
            <w:r w:rsidRPr="00B4462B">
              <w:rPr>
                <w:rFonts w:asciiTheme="minorHAnsi" w:hAnsiTheme="minorHAnsi" w:cstheme="minorHAnsi"/>
                <w:sz w:val="16"/>
                <w:szCs w:val="16"/>
                <w:lang w:val="es-CO" w:eastAsia="es-CO"/>
              </w:rPr>
              <w:t xml:space="preserve"> la STC remite al área Contable el informe de recursos entregados</w:t>
            </w:r>
            <w:r>
              <w:rPr>
                <w:rFonts w:asciiTheme="minorHAnsi" w:hAnsiTheme="minorHAnsi" w:cstheme="minorHAnsi"/>
                <w:sz w:val="16"/>
                <w:szCs w:val="16"/>
                <w:lang w:val="es-CO" w:eastAsia="es-CO"/>
              </w:rPr>
              <w:t>, dando cumplimiento a la actividad del PCS</w:t>
            </w:r>
            <w:r w:rsidR="00526D37">
              <w:rPr>
                <w:rFonts w:asciiTheme="minorHAnsi" w:hAnsiTheme="minorHAnsi" w:cstheme="minorHAnsi"/>
                <w:sz w:val="16"/>
                <w:szCs w:val="16"/>
                <w:lang w:val="es-CO" w:eastAsia="es-CO"/>
              </w:rPr>
              <w:t>.</w:t>
            </w:r>
          </w:p>
          <w:p w14:paraId="37A4F568" w14:textId="77777777" w:rsidR="00E941AF" w:rsidRPr="00E941AF" w:rsidRDefault="00E941AF" w:rsidP="00441B6A">
            <w:pPr>
              <w:suppressAutoHyphens w:val="0"/>
              <w:autoSpaceDN/>
              <w:textAlignment w:val="auto"/>
              <w:rPr>
                <w:rFonts w:asciiTheme="minorHAnsi" w:hAnsiTheme="minorHAnsi" w:cstheme="minorHAnsi"/>
                <w:sz w:val="12"/>
                <w:szCs w:val="12"/>
                <w:lang w:val="es-CO" w:eastAsia="es-CO"/>
              </w:rPr>
            </w:pPr>
          </w:p>
          <w:p w14:paraId="50314162" w14:textId="1AD8651E" w:rsidR="00E941AF" w:rsidRDefault="00E941AF" w:rsidP="00441B6A">
            <w:pPr>
              <w:suppressAutoHyphens w:val="0"/>
              <w:autoSpaceDN/>
              <w:textAlignment w:val="auto"/>
              <w:rPr>
                <w:rFonts w:asciiTheme="minorHAnsi" w:hAnsiTheme="minorHAnsi" w:cstheme="minorHAnsi"/>
                <w:sz w:val="16"/>
                <w:szCs w:val="16"/>
                <w:lang w:val="es-CO" w:eastAsia="es-CO"/>
              </w:rPr>
            </w:pPr>
            <w:r w:rsidRPr="002B0B25">
              <w:rPr>
                <w:rFonts w:asciiTheme="minorHAnsi" w:hAnsiTheme="minorHAnsi" w:cstheme="minorHAnsi"/>
                <w:sz w:val="16"/>
                <w:szCs w:val="16"/>
                <w:lang w:val="es-CO" w:eastAsia="es-CO"/>
              </w:rPr>
              <w:t>•</w:t>
            </w:r>
            <w:r>
              <w:rPr>
                <w:rFonts w:asciiTheme="minorHAnsi" w:hAnsiTheme="minorHAnsi" w:cstheme="minorHAnsi"/>
                <w:sz w:val="16"/>
                <w:szCs w:val="16"/>
                <w:lang w:val="es-CO" w:eastAsia="es-CO"/>
              </w:rPr>
              <w:t xml:space="preserve"> C</w:t>
            </w:r>
            <w:r w:rsidRPr="002B0B25">
              <w:rPr>
                <w:rFonts w:asciiTheme="minorHAnsi" w:hAnsiTheme="minorHAnsi" w:cstheme="minorHAnsi"/>
                <w:sz w:val="16"/>
                <w:szCs w:val="16"/>
                <w:lang w:val="es-CO" w:eastAsia="es-CO"/>
              </w:rPr>
              <w:t>onvenio 3193 de</w:t>
            </w:r>
            <w:r>
              <w:rPr>
                <w:rFonts w:asciiTheme="minorHAnsi" w:hAnsiTheme="minorHAnsi" w:cstheme="minorHAnsi"/>
                <w:sz w:val="16"/>
                <w:szCs w:val="16"/>
                <w:lang w:val="es-CO" w:eastAsia="es-CO"/>
              </w:rPr>
              <w:t xml:space="preserve"> </w:t>
            </w:r>
            <w:r w:rsidRPr="002B0B25">
              <w:rPr>
                <w:rFonts w:asciiTheme="minorHAnsi" w:hAnsiTheme="minorHAnsi" w:cstheme="minorHAnsi"/>
                <w:sz w:val="16"/>
                <w:szCs w:val="16"/>
                <w:lang w:val="es-CO" w:eastAsia="es-CO"/>
              </w:rPr>
              <w:t>2019:</w:t>
            </w:r>
            <w:r>
              <w:rPr>
                <w:rFonts w:asciiTheme="minorHAnsi" w:hAnsiTheme="minorHAnsi" w:cstheme="minorHAnsi"/>
                <w:sz w:val="16"/>
                <w:szCs w:val="16"/>
                <w:lang w:val="es-CO" w:eastAsia="es-CO"/>
              </w:rPr>
              <w:t xml:space="preserve"> </w:t>
            </w:r>
            <w:r w:rsidRPr="002B0B25">
              <w:rPr>
                <w:rFonts w:asciiTheme="minorHAnsi" w:hAnsiTheme="minorHAnsi" w:cstheme="minorHAnsi"/>
                <w:sz w:val="16"/>
                <w:szCs w:val="16"/>
                <w:lang w:val="es-CO" w:eastAsia="es-CO"/>
              </w:rPr>
              <w:t>Mediante radicado 20204100118961 del 08</w:t>
            </w:r>
            <w:r>
              <w:rPr>
                <w:rFonts w:asciiTheme="minorHAnsi" w:hAnsiTheme="minorHAnsi" w:cstheme="minorHAnsi"/>
                <w:sz w:val="16"/>
                <w:szCs w:val="16"/>
                <w:lang w:val="es-CO" w:eastAsia="es-CO"/>
              </w:rPr>
              <w:t xml:space="preserve">-oct-2020 </w:t>
            </w:r>
            <w:r w:rsidRPr="002B0B25">
              <w:rPr>
                <w:rFonts w:asciiTheme="minorHAnsi" w:hAnsiTheme="minorHAnsi" w:cstheme="minorHAnsi"/>
                <w:sz w:val="16"/>
                <w:szCs w:val="16"/>
                <w:lang w:val="es-CO" w:eastAsia="es-CO"/>
              </w:rPr>
              <w:t>la STC solicita a la Subdirectora de Gestión territorial del patrimonio</w:t>
            </w:r>
            <w:r>
              <w:rPr>
                <w:rFonts w:asciiTheme="minorHAnsi" w:hAnsiTheme="minorHAnsi" w:cstheme="minorHAnsi"/>
                <w:sz w:val="16"/>
                <w:szCs w:val="16"/>
                <w:lang w:val="es-CO" w:eastAsia="es-CO"/>
              </w:rPr>
              <w:t xml:space="preserve"> la correspondiente </w:t>
            </w:r>
            <w:r w:rsidRPr="002B0B25">
              <w:rPr>
                <w:rFonts w:asciiTheme="minorHAnsi" w:hAnsiTheme="minorHAnsi" w:cstheme="minorHAnsi"/>
                <w:sz w:val="16"/>
                <w:szCs w:val="16"/>
                <w:lang w:val="es-CO" w:eastAsia="es-CO"/>
              </w:rPr>
              <w:t xml:space="preserve">certificación firmada por el contador público y/o director financiero, </w:t>
            </w:r>
            <w:r>
              <w:rPr>
                <w:rFonts w:asciiTheme="minorHAnsi" w:hAnsiTheme="minorHAnsi" w:cstheme="minorHAnsi"/>
                <w:sz w:val="16"/>
                <w:szCs w:val="16"/>
                <w:lang w:val="es-CO" w:eastAsia="es-CO"/>
              </w:rPr>
              <w:t>debidamente discriminada.</w:t>
            </w:r>
          </w:p>
          <w:p w14:paraId="0E37EEBE" w14:textId="77777777" w:rsidR="00E941AF" w:rsidRPr="00E941AF" w:rsidRDefault="00E941AF" w:rsidP="00441B6A">
            <w:pPr>
              <w:suppressAutoHyphens w:val="0"/>
              <w:autoSpaceDN/>
              <w:textAlignment w:val="auto"/>
              <w:rPr>
                <w:rFonts w:asciiTheme="minorHAnsi" w:hAnsiTheme="minorHAnsi" w:cstheme="minorHAnsi"/>
                <w:sz w:val="12"/>
                <w:szCs w:val="12"/>
                <w:lang w:val="es-CO" w:eastAsia="es-CO"/>
              </w:rPr>
            </w:pPr>
          </w:p>
          <w:p w14:paraId="0883C326" w14:textId="32C98F07" w:rsidR="00E941AF" w:rsidRPr="002B0B25" w:rsidRDefault="00E941AF" w:rsidP="00441B6A">
            <w:pPr>
              <w:suppressAutoHyphens w:val="0"/>
              <w:autoSpaceDN/>
              <w:textAlignment w:val="auto"/>
              <w:rPr>
                <w:rFonts w:asciiTheme="minorHAnsi" w:hAnsiTheme="minorHAnsi" w:cstheme="minorHAnsi"/>
                <w:sz w:val="16"/>
                <w:szCs w:val="16"/>
                <w:lang w:val="es-CO" w:eastAsia="es-CO"/>
              </w:rPr>
            </w:pPr>
            <w:r w:rsidRPr="002B0B25">
              <w:rPr>
                <w:rFonts w:asciiTheme="minorHAnsi" w:hAnsiTheme="minorHAnsi" w:cstheme="minorHAnsi"/>
                <w:sz w:val="16"/>
                <w:szCs w:val="16"/>
                <w:lang w:val="es-CO" w:eastAsia="es-CO"/>
              </w:rPr>
              <w:t>Mediante Memorando 20204100380823 del 12</w:t>
            </w:r>
            <w:r>
              <w:rPr>
                <w:rFonts w:asciiTheme="minorHAnsi" w:hAnsiTheme="minorHAnsi" w:cstheme="minorHAnsi"/>
                <w:sz w:val="16"/>
                <w:szCs w:val="16"/>
                <w:lang w:val="es-CO" w:eastAsia="es-CO"/>
              </w:rPr>
              <w:t>-nov-</w:t>
            </w:r>
            <w:r w:rsidRPr="002B0B25">
              <w:rPr>
                <w:rFonts w:asciiTheme="minorHAnsi" w:hAnsiTheme="minorHAnsi" w:cstheme="minorHAnsi"/>
                <w:sz w:val="16"/>
                <w:szCs w:val="16"/>
                <w:lang w:val="es-CO" w:eastAsia="es-CO"/>
              </w:rPr>
              <w:t>202</w:t>
            </w:r>
            <w:r>
              <w:rPr>
                <w:rFonts w:asciiTheme="minorHAnsi" w:hAnsiTheme="minorHAnsi" w:cstheme="minorHAnsi"/>
                <w:sz w:val="16"/>
                <w:szCs w:val="16"/>
                <w:lang w:val="es-CO" w:eastAsia="es-CO"/>
              </w:rPr>
              <w:t>0</w:t>
            </w:r>
            <w:r w:rsidRPr="002B0B25">
              <w:rPr>
                <w:rFonts w:asciiTheme="minorHAnsi" w:hAnsiTheme="minorHAnsi" w:cstheme="minorHAnsi"/>
                <w:sz w:val="16"/>
                <w:szCs w:val="16"/>
                <w:lang w:val="es-CO" w:eastAsia="es-CO"/>
              </w:rPr>
              <w:t xml:space="preserve"> la STC remite al área Contable el informe de recursos entregados</w:t>
            </w:r>
            <w:r>
              <w:rPr>
                <w:rFonts w:asciiTheme="minorHAnsi" w:hAnsiTheme="minorHAnsi" w:cstheme="minorHAnsi"/>
                <w:sz w:val="16"/>
                <w:szCs w:val="16"/>
                <w:lang w:val="es-CO" w:eastAsia="es-CO"/>
              </w:rPr>
              <w:t>, dando cumplimiento a la actividad del PCS</w:t>
            </w:r>
            <w:r w:rsidR="00526D37">
              <w:rPr>
                <w:rFonts w:asciiTheme="minorHAnsi" w:hAnsiTheme="minorHAnsi" w:cstheme="minorHAnsi"/>
                <w:sz w:val="16"/>
                <w:szCs w:val="16"/>
                <w:lang w:val="es-CO" w:eastAsia="es-CO"/>
              </w:rPr>
              <w:t>.</w:t>
            </w:r>
          </w:p>
          <w:p w14:paraId="22A27397" w14:textId="77777777" w:rsidR="00E941AF" w:rsidRPr="00E941AF" w:rsidRDefault="00E941AF" w:rsidP="00441B6A">
            <w:pPr>
              <w:suppressAutoHyphens w:val="0"/>
              <w:autoSpaceDN/>
              <w:textAlignment w:val="auto"/>
              <w:rPr>
                <w:rFonts w:asciiTheme="minorHAnsi" w:hAnsiTheme="minorHAnsi" w:cstheme="minorHAnsi"/>
                <w:sz w:val="12"/>
                <w:szCs w:val="12"/>
                <w:lang w:val="es-CO" w:eastAsia="es-CO"/>
              </w:rPr>
            </w:pPr>
          </w:p>
          <w:p w14:paraId="712D9184" w14:textId="77777777" w:rsidR="00E941AF" w:rsidRDefault="00E941AF" w:rsidP="00441B6A">
            <w:pPr>
              <w:suppressAutoHyphens w:val="0"/>
              <w:autoSpaceDN/>
              <w:textAlignment w:val="auto"/>
              <w:rPr>
                <w:rFonts w:asciiTheme="minorHAnsi" w:hAnsiTheme="minorHAnsi" w:cstheme="minorHAnsi"/>
                <w:sz w:val="16"/>
                <w:szCs w:val="16"/>
                <w:lang w:val="es-CO" w:eastAsia="es-CO"/>
              </w:rPr>
            </w:pPr>
            <w:r w:rsidRPr="002B0B25">
              <w:rPr>
                <w:rFonts w:asciiTheme="minorHAnsi" w:hAnsiTheme="minorHAnsi" w:cstheme="minorHAnsi"/>
                <w:sz w:val="16"/>
                <w:szCs w:val="16"/>
                <w:lang w:val="es-CO" w:eastAsia="es-CO"/>
              </w:rPr>
              <w:t xml:space="preserve">• </w:t>
            </w:r>
            <w:r>
              <w:rPr>
                <w:rFonts w:asciiTheme="minorHAnsi" w:hAnsiTheme="minorHAnsi" w:cstheme="minorHAnsi"/>
                <w:sz w:val="16"/>
                <w:szCs w:val="16"/>
                <w:lang w:val="es-CO" w:eastAsia="es-CO"/>
              </w:rPr>
              <w:t>Considerando que el convenio COID 1270-2020 no se ha recibido ni ejecutado recursos, la actividad del Plan de Sostenibilidad Contable no aplica.</w:t>
            </w:r>
          </w:p>
          <w:p w14:paraId="0068D4C6" w14:textId="77777777" w:rsidR="002E7A9D" w:rsidRDefault="002E7A9D" w:rsidP="00441B6A">
            <w:pPr>
              <w:suppressAutoHyphens w:val="0"/>
              <w:autoSpaceDN/>
              <w:textAlignment w:val="auto"/>
              <w:rPr>
                <w:rFonts w:asciiTheme="minorHAnsi" w:hAnsiTheme="minorHAnsi" w:cstheme="minorHAnsi"/>
                <w:sz w:val="16"/>
                <w:szCs w:val="16"/>
                <w:lang w:val="es-CO" w:eastAsia="es-CO"/>
              </w:rPr>
            </w:pPr>
          </w:p>
          <w:p w14:paraId="5AF57B36" w14:textId="50B7516C" w:rsidR="002E7A9D" w:rsidRPr="000B0F0A" w:rsidRDefault="002E7A9D" w:rsidP="00441B6A">
            <w:pPr>
              <w:suppressAutoHyphens w:val="0"/>
              <w:autoSpaceDN/>
              <w:textAlignment w:val="auto"/>
              <w:rPr>
                <w:rFonts w:asciiTheme="minorHAnsi" w:hAnsiTheme="minorHAnsi" w:cstheme="minorHAnsi"/>
                <w:sz w:val="16"/>
                <w:szCs w:val="16"/>
                <w:lang w:val="es-CO" w:eastAsia="es-CO"/>
              </w:rPr>
            </w:pPr>
            <w:r w:rsidRPr="002E7A9D">
              <w:rPr>
                <w:rFonts w:asciiTheme="minorHAnsi" w:hAnsiTheme="minorHAnsi" w:cstheme="minorHAnsi"/>
                <w:bCs/>
                <w:sz w:val="16"/>
                <w:szCs w:val="16"/>
                <w:lang w:val="es-CO" w:eastAsia="es-CO"/>
              </w:rPr>
              <w:t>La STRD no dio respuesta al requerimiento de información presentado por la Oficina de Control Interno con el memorando 20211500110583 del 17-mar-2021 ni a la reiteración de solicitud No. 20211500145353 del 16-abr-2021</w:t>
            </w:r>
            <w:r w:rsidRPr="004F047E">
              <w:rPr>
                <w:rFonts w:asciiTheme="minorHAnsi" w:hAnsiTheme="minorHAnsi" w:cstheme="minorHAnsi"/>
                <w:bCs/>
                <w:color w:val="FF0000"/>
                <w:sz w:val="16"/>
                <w:szCs w:val="16"/>
                <w:lang w:val="es-CO" w:eastAsia="es-CO"/>
              </w:rPr>
              <w:t>.</w:t>
            </w:r>
          </w:p>
        </w:tc>
      </w:tr>
      <w:tr w:rsidR="00E941AF" w:rsidRPr="000B0F0A" w14:paraId="6234BBA7" w14:textId="77777777" w:rsidTr="00EC5F4E">
        <w:trPr>
          <w:trHeight w:val="1827"/>
        </w:trPr>
        <w:tc>
          <w:tcPr>
            <w:tcW w:w="317" w:type="dxa"/>
            <w:vMerge/>
            <w:tcBorders>
              <w:left w:val="single" w:sz="4" w:space="0" w:color="auto"/>
              <w:right w:val="single" w:sz="4" w:space="0" w:color="auto"/>
            </w:tcBorders>
            <w:shd w:val="clear" w:color="auto" w:fill="auto"/>
            <w:vAlign w:val="center"/>
          </w:tcPr>
          <w:p w14:paraId="3E39B6AC" w14:textId="0716FAB2"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right w:val="single" w:sz="4" w:space="0" w:color="auto"/>
            </w:tcBorders>
            <w:shd w:val="clear" w:color="auto" w:fill="auto"/>
            <w:vAlign w:val="center"/>
          </w:tcPr>
          <w:p w14:paraId="4721CC43"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right w:val="single" w:sz="4" w:space="0" w:color="auto"/>
            </w:tcBorders>
            <w:shd w:val="clear" w:color="auto" w:fill="auto"/>
            <w:vAlign w:val="center"/>
          </w:tcPr>
          <w:p w14:paraId="76A5EFC4" w14:textId="77777777" w:rsidR="00E941AF" w:rsidRPr="000B0F0A" w:rsidRDefault="00E941AF" w:rsidP="00ED72C2">
            <w:pPr>
              <w:suppressAutoHyphens w:val="0"/>
              <w:autoSpaceDN/>
              <w:spacing w:after="240"/>
              <w:textAlignment w:val="auto"/>
              <w:rPr>
                <w:rFonts w:asciiTheme="minorHAnsi" w:hAnsiTheme="minorHAnsi" w:cstheme="minorHAnsi"/>
                <w:sz w:val="16"/>
                <w:szCs w:val="16"/>
                <w:lang w:val="es-CO" w:eastAsia="es-CO"/>
              </w:rPr>
            </w:pPr>
          </w:p>
        </w:tc>
        <w:tc>
          <w:tcPr>
            <w:tcW w:w="3544" w:type="dxa"/>
            <w:vMerge/>
            <w:tcBorders>
              <w:left w:val="nil"/>
              <w:right w:val="single" w:sz="4" w:space="0" w:color="auto"/>
            </w:tcBorders>
            <w:shd w:val="clear" w:color="auto" w:fill="auto"/>
            <w:vAlign w:val="center"/>
          </w:tcPr>
          <w:p w14:paraId="56EC32B4" w14:textId="77777777" w:rsidR="00E941AF" w:rsidRPr="000B0F0A" w:rsidRDefault="00E941AF" w:rsidP="00ED72C2">
            <w:pPr>
              <w:suppressAutoHyphens w:val="0"/>
              <w:autoSpaceDN/>
              <w:textAlignment w:val="auto"/>
              <w:rPr>
                <w:rFonts w:asciiTheme="minorHAnsi" w:hAnsiTheme="minorHAnsi" w:cstheme="minorHAnsi"/>
                <w:b/>
                <w:bCs/>
                <w:color w:val="000000"/>
                <w:sz w:val="16"/>
                <w:szCs w:val="16"/>
                <w:lang w:val="es-CO" w:eastAsia="es-CO"/>
              </w:rPr>
            </w:pPr>
          </w:p>
        </w:tc>
        <w:tc>
          <w:tcPr>
            <w:tcW w:w="1276" w:type="dxa"/>
            <w:vMerge/>
            <w:tcBorders>
              <w:left w:val="nil"/>
              <w:right w:val="single" w:sz="4" w:space="0" w:color="auto"/>
            </w:tcBorders>
            <w:shd w:val="clear" w:color="auto" w:fill="auto"/>
            <w:vAlign w:val="center"/>
          </w:tcPr>
          <w:p w14:paraId="3E621103"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p>
        </w:tc>
        <w:tc>
          <w:tcPr>
            <w:tcW w:w="1984" w:type="dxa"/>
            <w:vMerge/>
            <w:tcBorders>
              <w:left w:val="nil"/>
              <w:right w:val="single" w:sz="4" w:space="0" w:color="auto"/>
            </w:tcBorders>
            <w:shd w:val="clear" w:color="auto" w:fill="auto"/>
            <w:vAlign w:val="center"/>
          </w:tcPr>
          <w:p w14:paraId="53336FF6"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CC033CD" w14:textId="77777777" w:rsidR="00E941AF" w:rsidRDefault="00E941AF" w:rsidP="00ED72C2">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STP</w:t>
            </w:r>
          </w:p>
          <w:p w14:paraId="775B2254" w14:textId="20BC8A31" w:rsidR="00E941AF" w:rsidRPr="000B0F0A" w:rsidRDefault="00E941AF" w:rsidP="00ED72C2">
            <w:pPr>
              <w:jc w:val="center"/>
              <w:rPr>
                <w:rFonts w:asciiTheme="minorHAnsi" w:hAnsiTheme="minorHAnsi" w:cstheme="minorHAnsi"/>
                <w:sz w:val="16"/>
                <w:szCs w:val="16"/>
                <w:lang w:val="es-CO" w:eastAsia="es-CO"/>
              </w:rPr>
            </w:pPr>
            <w:r w:rsidRPr="00A64017">
              <w:rPr>
                <w:rFonts w:asciiTheme="minorHAnsi" w:hAnsiTheme="minorHAnsi" w:cstheme="minorHAnsi"/>
                <w:sz w:val="16"/>
                <w:szCs w:val="16"/>
                <w:lang w:val="es-CO" w:eastAsia="es-CO"/>
              </w:rPr>
              <w:t>20216200126483</w:t>
            </w:r>
          </w:p>
        </w:tc>
        <w:tc>
          <w:tcPr>
            <w:tcW w:w="993" w:type="dxa"/>
            <w:vMerge/>
            <w:tcBorders>
              <w:left w:val="nil"/>
              <w:right w:val="single" w:sz="4" w:space="0" w:color="auto"/>
            </w:tcBorders>
            <w:shd w:val="clear" w:color="auto" w:fill="FFD966" w:themeFill="accent4" w:themeFillTint="99"/>
            <w:vAlign w:val="center"/>
          </w:tcPr>
          <w:p w14:paraId="7E40FB48" w14:textId="77777777" w:rsidR="00E941AF" w:rsidRPr="000B0F0A" w:rsidRDefault="00E941AF" w:rsidP="00ED72C2">
            <w:pPr>
              <w:jc w:val="center"/>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1DF4E248" w14:textId="19A8A199" w:rsidR="00E941AF" w:rsidRPr="000B0F0A" w:rsidRDefault="00E941AF" w:rsidP="00266AE0">
            <w:pP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La STP informa que </w:t>
            </w:r>
            <w:r w:rsidRPr="00266AE0">
              <w:rPr>
                <w:rFonts w:asciiTheme="minorHAnsi" w:hAnsiTheme="minorHAnsi" w:cstheme="minorHAnsi"/>
                <w:i/>
                <w:sz w:val="16"/>
                <w:szCs w:val="16"/>
                <w:lang w:val="es-CO" w:eastAsia="es-CO"/>
              </w:rPr>
              <w:t>“La Dirección del Instituto firmo convenio Interadministrativo No. COID 1270-2020 con el Ministerio del Deporte, el 30 de diciembre de 2020, el cual será ejecutado con un proyecto de la Subdirección Técnica de Parques a la fecha no se han recibido, ni se han ejecutado los recursos producto de este convenio.”</w:t>
            </w:r>
          </w:p>
        </w:tc>
        <w:tc>
          <w:tcPr>
            <w:tcW w:w="3969" w:type="dxa"/>
            <w:vMerge/>
            <w:tcBorders>
              <w:left w:val="nil"/>
              <w:right w:val="single" w:sz="4" w:space="0" w:color="auto"/>
            </w:tcBorders>
            <w:shd w:val="clear" w:color="auto" w:fill="auto"/>
            <w:noWrap/>
            <w:vAlign w:val="center"/>
          </w:tcPr>
          <w:p w14:paraId="5699B800" w14:textId="77777777" w:rsidR="00E941AF" w:rsidRPr="000B0F0A" w:rsidRDefault="00E941AF" w:rsidP="00ED72C2">
            <w:pPr>
              <w:jc w:val="left"/>
              <w:rPr>
                <w:rFonts w:asciiTheme="minorHAnsi" w:hAnsiTheme="minorHAnsi" w:cstheme="minorHAnsi"/>
                <w:sz w:val="16"/>
                <w:szCs w:val="16"/>
                <w:lang w:val="es-CO" w:eastAsia="es-CO"/>
              </w:rPr>
            </w:pPr>
          </w:p>
        </w:tc>
      </w:tr>
      <w:tr w:rsidR="00E941AF" w:rsidRPr="000B0F0A" w14:paraId="40169B71" w14:textId="77777777" w:rsidTr="00123F26">
        <w:trPr>
          <w:trHeight w:val="1488"/>
        </w:trPr>
        <w:tc>
          <w:tcPr>
            <w:tcW w:w="317" w:type="dxa"/>
            <w:vMerge/>
            <w:tcBorders>
              <w:left w:val="single" w:sz="4" w:space="0" w:color="auto"/>
              <w:bottom w:val="single" w:sz="4" w:space="0" w:color="auto"/>
              <w:right w:val="single" w:sz="4" w:space="0" w:color="auto"/>
            </w:tcBorders>
            <w:shd w:val="clear" w:color="auto" w:fill="auto"/>
            <w:vAlign w:val="center"/>
          </w:tcPr>
          <w:p w14:paraId="34852C81"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bottom w:val="single" w:sz="4" w:space="0" w:color="auto"/>
              <w:right w:val="single" w:sz="4" w:space="0" w:color="auto"/>
            </w:tcBorders>
            <w:shd w:val="clear" w:color="auto" w:fill="auto"/>
            <w:vAlign w:val="center"/>
          </w:tcPr>
          <w:p w14:paraId="74092647"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bottom w:val="single" w:sz="4" w:space="0" w:color="auto"/>
              <w:right w:val="single" w:sz="4" w:space="0" w:color="auto"/>
            </w:tcBorders>
            <w:shd w:val="clear" w:color="auto" w:fill="auto"/>
            <w:vAlign w:val="center"/>
          </w:tcPr>
          <w:p w14:paraId="1E0E74B2" w14:textId="77777777" w:rsidR="00E941AF" w:rsidRPr="000B0F0A" w:rsidRDefault="00E941AF" w:rsidP="00ED72C2">
            <w:pPr>
              <w:suppressAutoHyphens w:val="0"/>
              <w:autoSpaceDN/>
              <w:spacing w:after="240"/>
              <w:textAlignment w:val="auto"/>
              <w:rPr>
                <w:rFonts w:asciiTheme="minorHAnsi" w:hAnsiTheme="minorHAnsi" w:cstheme="minorHAnsi"/>
                <w:sz w:val="16"/>
                <w:szCs w:val="16"/>
                <w:lang w:val="es-CO" w:eastAsia="es-CO"/>
              </w:rPr>
            </w:pPr>
          </w:p>
        </w:tc>
        <w:tc>
          <w:tcPr>
            <w:tcW w:w="3544" w:type="dxa"/>
            <w:vMerge/>
            <w:tcBorders>
              <w:left w:val="nil"/>
              <w:bottom w:val="single" w:sz="4" w:space="0" w:color="auto"/>
              <w:right w:val="single" w:sz="4" w:space="0" w:color="auto"/>
            </w:tcBorders>
            <w:shd w:val="clear" w:color="auto" w:fill="auto"/>
            <w:vAlign w:val="center"/>
          </w:tcPr>
          <w:p w14:paraId="2B9F90BB" w14:textId="77777777" w:rsidR="00E941AF" w:rsidRPr="000B0F0A" w:rsidRDefault="00E941AF" w:rsidP="00ED72C2">
            <w:pPr>
              <w:suppressAutoHyphens w:val="0"/>
              <w:autoSpaceDN/>
              <w:textAlignment w:val="auto"/>
              <w:rPr>
                <w:rFonts w:asciiTheme="minorHAnsi" w:hAnsiTheme="minorHAnsi" w:cstheme="minorHAnsi"/>
                <w:b/>
                <w:bCs/>
                <w:color w:val="000000"/>
                <w:sz w:val="16"/>
                <w:szCs w:val="16"/>
                <w:lang w:val="es-CO" w:eastAsia="es-CO"/>
              </w:rPr>
            </w:pPr>
          </w:p>
        </w:tc>
        <w:tc>
          <w:tcPr>
            <w:tcW w:w="1276" w:type="dxa"/>
            <w:vMerge/>
            <w:tcBorders>
              <w:left w:val="nil"/>
              <w:bottom w:val="single" w:sz="4" w:space="0" w:color="auto"/>
              <w:right w:val="single" w:sz="4" w:space="0" w:color="auto"/>
            </w:tcBorders>
            <w:shd w:val="clear" w:color="auto" w:fill="auto"/>
            <w:vAlign w:val="center"/>
          </w:tcPr>
          <w:p w14:paraId="23801506"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p>
        </w:tc>
        <w:tc>
          <w:tcPr>
            <w:tcW w:w="1984" w:type="dxa"/>
            <w:vMerge/>
            <w:tcBorders>
              <w:left w:val="nil"/>
              <w:bottom w:val="single" w:sz="4" w:space="0" w:color="auto"/>
              <w:right w:val="single" w:sz="4" w:space="0" w:color="auto"/>
            </w:tcBorders>
            <w:shd w:val="clear" w:color="auto" w:fill="auto"/>
            <w:vAlign w:val="center"/>
          </w:tcPr>
          <w:p w14:paraId="03B35EC6" w14:textId="77777777" w:rsidR="00E941AF" w:rsidRPr="000B0F0A" w:rsidRDefault="00E941AF"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CFEBD4B" w14:textId="77777777" w:rsidR="00AC3C89" w:rsidRDefault="00AC3C89" w:rsidP="00ED72C2">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STRD</w:t>
            </w:r>
          </w:p>
          <w:p w14:paraId="1347925F" w14:textId="12CE3CCA" w:rsidR="0064673B" w:rsidRPr="000B0F0A" w:rsidRDefault="00AC3C89" w:rsidP="00ED72C2">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Sin respuesta</w:t>
            </w:r>
          </w:p>
        </w:tc>
        <w:tc>
          <w:tcPr>
            <w:tcW w:w="993" w:type="dxa"/>
            <w:vMerge/>
            <w:tcBorders>
              <w:left w:val="nil"/>
              <w:bottom w:val="single" w:sz="4" w:space="0" w:color="auto"/>
              <w:right w:val="single" w:sz="4" w:space="0" w:color="auto"/>
            </w:tcBorders>
            <w:shd w:val="clear" w:color="auto" w:fill="FFD966" w:themeFill="accent4" w:themeFillTint="99"/>
            <w:vAlign w:val="center"/>
          </w:tcPr>
          <w:p w14:paraId="3BC70215" w14:textId="77777777" w:rsidR="00E941AF" w:rsidRPr="000B0F0A" w:rsidRDefault="00E941AF" w:rsidP="00ED72C2">
            <w:pPr>
              <w:jc w:val="center"/>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5CA7A29D" w14:textId="093616DE" w:rsidR="00E941AF" w:rsidRPr="000B0F0A" w:rsidRDefault="00E941AF" w:rsidP="00ED72C2">
            <w:pPr>
              <w:jc w:val="left"/>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No remitió respuesta al requerimiento No. </w:t>
            </w:r>
            <w:r w:rsidRPr="00273049">
              <w:rPr>
                <w:rFonts w:asciiTheme="minorHAnsi" w:hAnsiTheme="minorHAnsi" w:cstheme="minorHAnsi"/>
                <w:sz w:val="16"/>
                <w:szCs w:val="16"/>
                <w:lang w:val="es-CO" w:eastAsia="es-CO"/>
              </w:rPr>
              <w:t>20211500110583</w:t>
            </w:r>
            <w:r>
              <w:rPr>
                <w:rFonts w:asciiTheme="minorHAnsi" w:hAnsiTheme="minorHAnsi" w:cstheme="minorHAnsi"/>
                <w:sz w:val="16"/>
                <w:szCs w:val="16"/>
                <w:lang w:val="es-CO" w:eastAsia="es-CO"/>
              </w:rPr>
              <w:t xml:space="preserve"> del 17 de marzo de 2021</w:t>
            </w:r>
          </w:p>
        </w:tc>
        <w:tc>
          <w:tcPr>
            <w:tcW w:w="3969" w:type="dxa"/>
            <w:vMerge/>
            <w:tcBorders>
              <w:left w:val="nil"/>
              <w:bottom w:val="single" w:sz="4" w:space="0" w:color="auto"/>
              <w:right w:val="single" w:sz="4" w:space="0" w:color="auto"/>
            </w:tcBorders>
            <w:shd w:val="clear" w:color="auto" w:fill="auto"/>
            <w:noWrap/>
            <w:vAlign w:val="center"/>
          </w:tcPr>
          <w:p w14:paraId="261649B6" w14:textId="77777777" w:rsidR="00E941AF" w:rsidRPr="000B0F0A" w:rsidRDefault="00E941AF" w:rsidP="00ED72C2">
            <w:pPr>
              <w:jc w:val="left"/>
              <w:rPr>
                <w:rFonts w:asciiTheme="minorHAnsi" w:hAnsiTheme="minorHAnsi" w:cstheme="minorHAnsi"/>
                <w:sz w:val="16"/>
                <w:szCs w:val="16"/>
                <w:lang w:val="es-CO" w:eastAsia="es-CO"/>
              </w:rPr>
            </w:pPr>
          </w:p>
        </w:tc>
      </w:tr>
      <w:tr w:rsidR="00441B6A" w:rsidRPr="00871E92" w14:paraId="3DA9767E" w14:textId="77777777" w:rsidTr="007C4117">
        <w:trPr>
          <w:trHeight w:val="1260"/>
        </w:trPr>
        <w:tc>
          <w:tcPr>
            <w:tcW w:w="317" w:type="dxa"/>
            <w:vMerge w:val="restart"/>
            <w:tcBorders>
              <w:top w:val="nil"/>
              <w:left w:val="single" w:sz="4" w:space="0" w:color="auto"/>
              <w:right w:val="single" w:sz="4" w:space="0" w:color="auto"/>
            </w:tcBorders>
            <w:shd w:val="clear" w:color="auto" w:fill="auto"/>
            <w:vAlign w:val="center"/>
            <w:hideMark/>
          </w:tcPr>
          <w:p w14:paraId="789C5F37"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13</w:t>
            </w:r>
          </w:p>
        </w:tc>
        <w:tc>
          <w:tcPr>
            <w:tcW w:w="954" w:type="dxa"/>
            <w:vMerge w:val="restart"/>
            <w:tcBorders>
              <w:top w:val="nil"/>
              <w:left w:val="nil"/>
              <w:right w:val="single" w:sz="4" w:space="0" w:color="auto"/>
            </w:tcBorders>
            <w:shd w:val="clear" w:color="auto" w:fill="auto"/>
            <w:vAlign w:val="center"/>
            <w:hideMark/>
          </w:tcPr>
          <w:p w14:paraId="21FDC801"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Retenciones e impuestos</w:t>
            </w:r>
          </w:p>
        </w:tc>
        <w:tc>
          <w:tcPr>
            <w:tcW w:w="3969" w:type="dxa"/>
            <w:vMerge w:val="restart"/>
            <w:tcBorders>
              <w:top w:val="nil"/>
              <w:left w:val="nil"/>
              <w:right w:val="single" w:sz="4" w:space="0" w:color="auto"/>
            </w:tcBorders>
            <w:shd w:val="clear" w:color="auto" w:fill="auto"/>
            <w:vAlign w:val="center"/>
            <w:hideMark/>
          </w:tcPr>
          <w:p w14:paraId="1FEE8E21" w14:textId="77777777" w:rsidR="00441B6A" w:rsidRPr="000B0F0A" w:rsidRDefault="00441B6A" w:rsidP="00ED72C2">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br/>
              <w:t>1.Enviar mensualmente a Contabilidad los descuentos efectuados sobre la nómina por concepto de retención en la fuente en salarios.</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2.Cuentas por pagar radicadas en la central de cuentas a través de bitácora y causadas dentro del mes, por conceptos diferentes a la nómina.</w:t>
            </w:r>
          </w:p>
        </w:tc>
        <w:tc>
          <w:tcPr>
            <w:tcW w:w="3544" w:type="dxa"/>
            <w:vMerge w:val="restart"/>
            <w:tcBorders>
              <w:top w:val="nil"/>
              <w:left w:val="nil"/>
              <w:right w:val="single" w:sz="4" w:space="0" w:color="auto"/>
            </w:tcBorders>
            <w:shd w:val="clear" w:color="auto" w:fill="auto"/>
            <w:vAlign w:val="center"/>
            <w:hideMark/>
          </w:tcPr>
          <w:p w14:paraId="1DCF5192" w14:textId="77777777" w:rsidR="00441B6A" w:rsidRPr="000B0F0A" w:rsidRDefault="00441B6A" w:rsidP="00ED72C2">
            <w:pPr>
              <w:suppressAutoHyphens w:val="0"/>
              <w:autoSpaceDN/>
              <w:textAlignment w:val="auto"/>
              <w:rPr>
                <w:rFonts w:asciiTheme="minorHAnsi" w:hAnsiTheme="minorHAnsi" w:cstheme="minorHAnsi"/>
                <w:b/>
                <w:bCs/>
                <w:color w:val="000000"/>
                <w:sz w:val="16"/>
                <w:szCs w:val="16"/>
                <w:lang w:val="es-CO" w:eastAsia="es-CO"/>
              </w:rPr>
            </w:pPr>
            <w:bookmarkStart w:id="18" w:name="RANGE!E20"/>
            <w:r w:rsidRPr="000B0F0A">
              <w:rPr>
                <w:rFonts w:asciiTheme="minorHAnsi" w:hAnsiTheme="minorHAnsi" w:cstheme="minorHAnsi"/>
                <w:b/>
                <w:bCs/>
                <w:color w:val="000000"/>
                <w:sz w:val="16"/>
                <w:szCs w:val="16"/>
                <w:lang w:val="es-CO" w:eastAsia="es-CO"/>
              </w:rPr>
              <w:t>7.3 Generación de Información Contable</w:t>
            </w:r>
            <w:r w:rsidRPr="000B0F0A">
              <w:rPr>
                <w:rFonts w:asciiTheme="minorHAnsi" w:hAnsiTheme="minorHAnsi" w:cstheme="minorHAnsi"/>
                <w:b/>
                <w:bCs/>
                <w:color w:val="000000"/>
                <w:sz w:val="16"/>
                <w:szCs w:val="16"/>
                <w:lang w:val="es-CO" w:eastAsia="es-CO"/>
              </w:rPr>
              <w:br/>
            </w:r>
            <w:r w:rsidRPr="000B0F0A">
              <w:rPr>
                <w:rFonts w:asciiTheme="minorHAnsi" w:hAnsiTheme="minorHAnsi" w:cstheme="minorHAnsi"/>
                <w:b/>
                <w:bCs/>
                <w:color w:val="000000"/>
                <w:sz w:val="16"/>
                <w:szCs w:val="16"/>
                <w:lang w:val="es-CO" w:eastAsia="es-CO"/>
              </w:rPr>
              <w:br/>
            </w:r>
            <w:r w:rsidRPr="000B0F0A">
              <w:rPr>
                <w:rFonts w:asciiTheme="minorHAnsi" w:hAnsiTheme="minorHAnsi" w:cstheme="minorHAnsi"/>
                <w:color w:val="000000"/>
                <w:sz w:val="16"/>
                <w:szCs w:val="16"/>
                <w:lang w:val="es-CO" w:eastAsia="es-CO"/>
              </w:rPr>
              <w:t xml:space="preserve">La información que se produce en las diferentes áreas y/o dependencias de gestión del IDRD será la base para reconocer contablemente los hechos económicos, financieros sociales y ambientales. </w:t>
            </w:r>
            <w:bookmarkEnd w:id="18"/>
          </w:p>
        </w:tc>
        <w:tc>
          <w:tcPr>
            <w:tcW w:w="1276" w:type="dxa"/>
            <w:vMerge w:val="restart"/>
            <w:tcBorders>
              <w:top w:val="nil"/>
              <w:left w:val="nil"/>
              <w:right w:val="single" w:sz="4" w:space="0" w:color="auto"/>
            </w:tcBorders>
            <w:shd w:val="clear" w:color="auto" w:fill="auto"/>
            <w:vAlign w:val="center"/>
            <w:hideMark/>
          </w:tcPr>
          <w:p w14:paraId="35790FC1"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Nómina/Subdirecciones respectivas/Contabilidad</w:t>
            </w:r>
          </w:p>
        </w:tc>
        <w:tc>
          <w:tcPr>
            <w:tcW w:w="1984" w:type="dxa"/>
            <w:vMerge w:val="restart"/>
            <w:tcBorders>
              <w:top w:val="nil"/>
              <w:left w:val="nil"/>
              <w:right w:val="single" w:sz="4" w:space="0" w:color="auto"/>
            </w:tcBorders>
            <w:shd w:val="clear" w:color="auto" w:fill="auto"/>
            <w:vAlign w:val="center"/>
            <w:hideMark/>
          </w:tcPr>
          <w:p w14:paraId="119B3A63"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  </w:t>
            </w:r>
          </w:p>
          <w:p w14:paraId="15F611E3"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27AEFE0F"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7D1AC0B7"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3436DFE5"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5775D28D" w14:textId="46662974"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58511717"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33DB8BD1"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60CD9433" w14:textId="0D9BFA3C" w:rsidR="00AB0D29" w:rsidRDefault="00441B6A"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A más tardar cinco días después del pago de la nómina</w:t>
            </w:r>
            <w:r w:rsidRPr="000B0F0A">
              <w:rPr>
                <w:rFonts w:asciiTheme="minorHAnsi" w:hAnsiTheme="minorHAnsi" w:cstheme="minorHAnsi"/>
                <w:sz w:val="16"/>
                <w:szCs w:val="16"/>
                <w:lang w:val="es-CO" w:eastAsia="es-CO"/>
              </w:rPr>
              <w:br/>
            </w:r>
          </w:p>
          <w:p w14:paraId="3E7F2380"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163AF82A"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36BA3782"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1F87BB55"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6F9AA255"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7DDF016B" w14:textId="6885663D" w:rsidR="00AB0D29" w:rsidRDefault="00AB0D29" w:rsidP="00AB0D29">
            <w:pPr>
              <w:suppressAutoHyphens w:val="0"/>
              <w:autoSpaceDN/>
              <w:textAlignment w:val="auto"/>
              <w:rPr>
                <w:rFonts w:asciiTheme="minorHAnsi" w:hAnsiTheme="minorHAnsi" w:cstheme="minorHAnsi"/>
                <w:sz w:val="16"/>
                <w:szCs w:val="16"/>
                <w:lang w:val="es-CO" w:eastAsia="es-CO"/>
              </w:rPr>
            </w:pPr>
          </w:p>
          <w:p w14:paraId="662EED2A"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3BA6292F" w14:textId="77777777" w:rsidR="00AB0D29" w:rsidRDefault="00AB0D29" w:rsidP="00ED72C2">
            <w:pPr>
              <w:suppressAutoHyphens w:val="0"/>
              <w:autoSpaceDN/>
              <w:jc w:val="center"/>
              <w:textAlignment w:val="auto"/>
              <w:rPr>
                <w:rFonts w:asciiTheme="minorHAnsi" w:hAnsiTheme="minorHAnsi" w:cstheme="minorHAnsi"/>
                <w:sz w:val="16"/>
                <w:szCs w:val="16"/>
                <w:lang w:val="es-CO" w:eastAsia="es-CO"/>
              </w:rPr>
            </w:pPr>
          </w:p>
          <w:p w14:paraId="4E069C0B" w14:textId="4DC4931B" w:rsidR="00AB0D29" w:rsidRDefault="00AB0D29" w:rsidP="00AB0D29">
            <w:pPr>
              <w:suppressAutoHyphens w:val="0"/>
              <w:autoSpaceDN/>
              <w:textAlignment w:val="auto"/>
              <w:rPr>
                <w:rFonts w:asciiTheme="minorHAnsi" w:hAnsiTheme="minorHAnsi" w:cstheme="minorHAnsi"/>
                <w:sz w:val="16"/>
                <w:szCs w:val="16"/>
                <w:lang w:val="es-CO" w:eastAsia="es-CO"/>
              </w:rPr>
            </w:pPr>
          </w:p>
          <w:p w14:paraId="005E1E0F" w14:textId="0927918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br/>
              <w:t>En las fechas establecidas por la Secretaria de Hacienda para los pagos por transferencia.</w:t>
            </w:r>
            <w:r w:rsidRPr="000B0F0A">
              <w:rPr>
                <w:rFonts w:asciiTheme="minorHAnsi" w:hAnsiTheme="minorHAnsi" w:cstheme="minorHAnsi"/>
                <w:sz w:val="16"/>
                <w:szCs w:val="16"/>
                <w:lang w:val="es-CO" w:eastAsia="es-CO"/>
              </w:rPr>
              <w:br/>
              <w:t>Pagos de recursos administrados</w:t>
            </w:r>
          </w:p>
        </w:tc>
        <w:tc>
          <w:tcPr>
            <w:tcW w:w="1559" w:type="dxa"/>
            <w:tcBorders>
              <w:top w:val="nil"/>
              <w:left w:val="nil"/>
              <w:bottom w:val="single" w:sz="4" w:space="0" w:color="auto"/>
              <w:right w:val="single" w:sz="4" w:space="0" w:color="auto"/>
            </w:tcBorders>
            <w:shd w:val="clear" w:color="auto" w:fill="auto"/>
            <w:vAlign w:val="center"/>
            <w:hideMark/>
          </w:tcPr>
          <w:p w14:paraId="53E89888" w14:textId="77777777" w:rsidR="00441B6A" w:rsidRDefault="00441B6A"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lastRenderedPageBreak/>
              <w:t>Nómina</w:t>
            </w:r>
          </w:p>
          <w:p w14:paraId="35B3C8BE" w14:textId="1D30805C" w:rsidR="001C4FE3" w:rsidRPr="000B0F0A" w:rsidRDefault="001C4FE3" w:rsidP="00ED72C2">
            <w:pPr>
              <w:suppressAutoHyphens w:val="0"/>
              <w:autoSpaceDN/>
              <w:jc w:val="center"/>
              <w:textAlignment w:val="auto"/>
              <w:rPr>
                <w:rFonts w:asciiTheme="minorHAnsi" w:hAnsiTheme="minorHAnsi" w:cstheme="minorHAnsi"/>
                <w:sz w:val="16"/>
                <w:szCs w:val="16"/>
                <w:lang w:val="es-CO" w:eastAsia="es-CO"/>
              </w:rPr>
            </w:pPr>
            <w:r w:rsidRPr="005352D6">
              <w:rPr>
                <w:rFonts w:asciiTheme="minorHAnsi" w:hAnsiTheme="minorHAnsi" w:cstheme="minorHAnsi"/>
                <w:sz w:val="16"/>
                <w:szCs w:val="16"/>
                <w:lang w:val="es-CO" w:eastAsia="es-CO"/>
              </w:rPr>
              <w:t>20213000124263</w:t>
            </w:r>
          </w:p>
        </w:tc>
        <w:tc>
          <w:tcPr>
            <w:tcW w:w="993" w:type="dxa"/>
            <w:vMerge w:val="restart"/>
            <w:tcBorders>
              <w:top w:val="nil"/>
              <w:left w:val="nil"/>
              <w:right w:val="single" w:sz="4" w:space="0" w:color="auto"/>
            </w:tcBorders>
            <w:shd w:val="clear" w:color="auto" w:fill="92D050"/>
            <w:vAlign w:val="center"/>
            <w:hideMark/>
          </w:tcPr>
          <w:p w14:paraId="344AED17" w14:textId="77777777" w:rsidR="00441B6A" w:rsidRDefault="00441B6A"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w:t>
            </w:r>
            <w:r w:rsidR="00E07019">
              <w:rPr>
                <w:rFonts w:asciiTheme="minorHAnsi" w:hAnsiTheme="minorHAnsi" w:cstheme="minorHAnsi"/>
                <w:sz w:val="16"/>
                <w:szCs w:val="16"/>
                <w:lang w:val="es-CO" w:eastAsia="es-CO"/>
              </w:rPr>
              <w:t>SÍ</w:t>
            </w:r>
          </w:p>
          <w:p w14:paraId="4D28E9B4" w14:textId="13C7238D" w:rsidR="00E07019" w:rsidRPr="000B0F0A" w:rsidRDefault="00E07019"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p>
        </w:tc>
        <w:tc>
          <w:tcPr>
            <w:tcW w:w="4110" w:type="dxa"/>
            <w:tcBorders>
              <w:top w:val="nil"/>
              <w:left w:val="nil"/>
              <w:bottom w:val="single" w:sz="4" w:space="0" w:color="auto"/>
              <w:right w:val="single" w:sz="4" w:space="0" w:color="auto"/>
            </w:tcBorders>
            <w:shd w:val="clear" w:color="auto" w:fill="auto"/>
            <w:noWrap/>
            <w:vAlign w:val="center"/>
            <w:hideMark/>
          </w:tcPr>
          <w:p w14:paraId="68B912ED" w14:textId="5E585C92" w:rsidR="00441B6A" w:rsidRDefault="00441B6A" w:rsidP="00ED72C2">
            <w:pPr>
              <w:suppressAutoHyphens w:val="0"/>
              <w:autoSpaceDN/>
              <w:jc w:val="left"/>
              <w:textAlignment w:val="auto"/>
              <w:rPr>
                <w:rFonts w:asciiTheme="minorHAnsi" w:hAnsiTheme="minorHAnsi" w:cstheme="minorHAnsi"/>
                <w:bCs/>
                <w:sz w:val="16"/>
                <w:szCs w:val="16"/>
                <w:lang w:val="es-CO" w:eastAsia="es-CO"/>
              </w:rPr>
            </w:pPr>
            <w:r w:rsidRPr="000B0F0A">
              <w:rPr>
                <w:rFonts w:asciiTheme="minorHAnsi" w:hAnsiTheme="minorHAnsi" w:cstheme="minorHAnsi"/>
                <w:b/>
                <w:bCs/>
                <w:sz w:val="16"/>
                <w:szCs w:val="16"/>
                <w:lang w:val="es-CO" w:eastAsia="es-CO"/>
              </w:rPr>
              <w:t> </w:t>
            </w:r>
            <w:r w:rsidR="001C4FE3">
              <w:rPr>
                <w:rFonts w:asciiTheme="minorHAnsi" w:hAnsiTheme="minorHAnsi" w:cstheme="minorHAnsi"/>
                <w:bCs/>
                <w:sz w:val="16"/>
                <w:szCs w:val="16"/>
                <w:lang w:val="es-CO" w:eastAsia="es-CO"/>
              </w:rPr>
              <w:t xml:space="preserve">La SAF remite los </w:t>
            </w:r>
            <w:r w:rsidR="00FF6B2D">
              <w:rPr>
                <w:rFonts w:asciiTheme="minorHAnsi" w:hAnsiTheme="minorHAnsi" w:cstheme="minorHAnsi"/>
                <w:bCs/>
                <w:sz w:val="16"/>
                <w:szCs w:val="16"/>
                <w:lang w:val="es-CO" w:eastAsia="es-CO"/>
              </w:rPr>
              <w:t>siguientes documentos</w:t>
            </w:r>
            <w:r w:rsidR="001C4FE3">
              <w:rPr>
                <w:rFonts w:asciiTheme="minorHAnsi" w:hAnsiTheme="minorHAnsi" w:cstheme="minorHAnsi"/>
                <w:bCs/>
                <w:sz w:val="16"/>
                <w:szCs w:val="16"/>
                <w:lang w:val="es-CO" w:eastAsia="es-CO"/>
              </w:rPr>
              <w:t>:</w:t>
            </w:r>
          </w:p>
          <w:p w14:paraId="5CE36587" w14:textId="34FF2126" w:rsidR="001C4FE3" w:rsidRPr="001C4FE3" w:rsidRDefault="001C4FE3" w:rsidP="001C4FE3">
            <w:pPr>
              <w:suppressAutoHyphens w:val="0"/>
              <w:autoSpaceDN/>
              <w:jc w:val="left"/>
              <w:textAlignment w:val="auto"/>
              <w:rPr>
                <w:rFonts w:asciiTheme="minorHAnsi" w:hAnsiTheme="minorHAnsi" w:cstheme="minorHAnsi"/>
                <w:bCs/>
                <w:i/>
                <w:sz w:val="16"/>
                <w:szCs w:val="16"/>
                <w:lang w:val="es-CO" w:eastAsia="es-CO"/>
              </w:rPr>
            </w:pPr>
            <w:r w:rsidRPr="001C4FE3">
              <w:rPr>
                <w:rFonts w:asciiTheme="minorHAnsi" w:hAnsiTheme="minorHAnsi" w:cstheme="minorHAnsi"/>
                <w:bCs/>
                <w:i/>
                <w:sz w:val="16"/>
                <w:szCs w:val="16"/>
                <w:lang w:val="es-CO" w:eastAsia="es-CO"/>
              </w:rPr>
              <w:t>“•Reporte retención en la fuente mes de febrero de 2021</w:t>
            </w:r>
          </w:p>
          <w:p w14:paraId="359A8DF6" w14:textId="78F0085A" w:rsidR="001C4FE3" w:rsidRPr="001C4FE3" w:rsidRDefault="001C4FE3" w:rsidP="001C4FE3">
            <w:pPr>
              <w:suppressAutoHyphens w:val="0"/>
              <w:autoSpaceDN/>
              <w:jc w:val="left"/>
              <w:textAlignment w:val="auto"/>
              <w:rPr>
                <w:rFonts w:asciiTheme="minorHAnsi" w:hAnsiTheme="minorHAnsi" w:cstheme="minorHAnsi"/>
                <w:bCs/>
                <w:sz w:val="16"/>
                <w:szCs w:val="16"/>
                <w:lang w:val="es-CO" w:eastAsia="es-CO"/>
              </w:rPr>
            </w:pPr>
            <w:r w:rsidRPr="001C4FE3">
              <w:rPr>
                <w:rFonts w:asciiTheme="minorHAnsi" w:hAnsiTheme="minorHAnsi" w:cstheme="minorHAnsi"/>
                <w:bCs/>
                <w:i/>
                <w:sz w:val="16"/>
                <w:szCs w:val="16"/>
                <w:lang w:val="es-CO" w:eastAsia="es-CO"/>
              </w:rPr>
              <w:t>•Correo remitido al área de Contabilidad del Reporte de retención en la fuente mes de febrero de 2021”</w:t>
            </w:r>
          </w:p>
        </w:tc>
        <w:tc>
          <w:tcPr>
            <w:tcW w:w="3969" w:type="dxa"/>
            <w:vMerge w:val="restart"/>
            <w:tcBorders>
              <w:top w:val="nil"/>
              <w:left w:val="nil"/>
              <w:right w:val="single" w:sz="4" w:space="0" w:color="auto"/>
            </w:tcBorders>
            <w:shd w:val="clear" w:color="auto" w:fill="auto"/>
            <w:noWrap/>
            <w:vAlign w:val="center"/>
            <w:hideMark/>
          </w:tcPr>
          <w:p w14:paraId="33ABE1E4" w14:textId="03137157" w:rsidR="00441B6A" w:rsidRPr="00871E92" w:rsidRDefault="00441B6A" w:rsidP="00AB0D29">
            <w:pPr>
              <w:suppressAutoHyphens w:val="0"/>
              <w:autoSpaceDN/>
              <w:textAlignment w:val="auto"/>
              <w:rPr>
                <w:rFonts w:asciiTheme="minorHAnsi" w:hAnsiTheme="minorHAnsi" w:cstheme="minorHAnsi"/>
                <w:sz w:val="16"/>
                <w:szCs w:val="16"/>
                <w:lang w:val="es-CO" w:eastAsia="es-CO"/>
              </w:rPr>
            </w:pPr>
            <w:r w:rsidRPr="00871E92">
              <w:rPr>
                <w:rFonts w:asciiTheme="minorHAnsi" w:hAnsiTheme="minorHAnsi" w:cstheme="minorHAnsi"/>
                <w:sz w:val="16"/>
                <w:szCs w:val="16"/>
                <w:lang w:val="es-CO" w:eastAsia="es-CO"/>
              </w:rPr>
              <w:t> </w:t>
            </w:r>
            <w:r w:rsidR="00FC4D84" w:rsidRPr="00871E92">
              <w:rPr>
                <w:rFonts w:asciiTheme="minorHAnsi" w:hAnsiTheme="minorHAnsi" w:cstheme="minorHAnsi"/>
                <w:sz w:val="16"/>
                <w:szCs w:val="16"/>
                <w:lang w:val="es-CO" w:eastAsia="es-CO"/>
              </w:rPr>
              <w:t>Mediante correo del 23 de febrero el área de nómina remite el reporte de retención en la fuente al área de Contabilidad, dando cumplimiento con la actividad del Plan de Sostenibilidad Contable.</w:t>
            </w:r>
          </w:p>
          <w:p w14:paraId="1BEFC849" w14:textId="58E35C68" w:rsidR="00E07019" w:rsidRPr="00871E92" w:rsidRDefault="00E07019" w:rsidP="00AB0D29">
            <w:pPr>
              <w:suppressAutoHyphens w:val="0"/>
              <w:autoSpaceDN/>
              <w:textAlignment w:val="auto"/>
              <w:rPr>
                <w:rFonts w:asciiTheme="minorHAnsi" w:hAnsiTheme="minorHAnsi" w:cstheme="minorHAnsi"/>
                <w:sz w:val="16"/>
                <w:szCs w:val="16"/>
                <w:lang w:val="es-CO" w:eastAsia="es-CO"/>
              </w:rPr>
            </w:pPr>
          </w:p>
          <w:p w14:paraId="5C4DD69C" w14:textId="29DCF2F4" w:rsidR="00E07019" w:rsidRPr="00871E92" w:rsidRDefault="00E07019" w:rsidP="00AB0D29">
            <w:pPr>
              <w:suppressAutoHyphens w:val="0"/>
              <w:autoSpaceDN/>
              <w:textAlignment w:val="auto"/>
              <w:rPr>
                <w:rFonts w:asciiTheme="minorHAnsi" w:hAnsiTheme="minorHAnsi" w:cstheme="minorHAnsi"/>
                <w:sz w:val="16"/>
                <w:szCs w:val="16"/>
                <w:lang w:val="es-CO" w:eastAsia="es-CO"/>
              </w:rPr>
            </w:pPr>
            <w:r w:rsidRPr="00871E92">
              <w:rPr>
                <w:rFonts w:asciiTheme="minorHAnsi" w:hAnsiTheme="minorHAnsi" w:cstheme="minorHAnsi"/>
                <w:sz w:val="16"/>
                <w:szCs w:val="16"/>
                <w:lang w:val="es-CO" w:eastAsia="es-CO"/>
              </w:rPr>
              <w:t>Mediante radicado 20213330122183 del 26-mar-2021 Contabilidad informa que todas las cuentas por pagar diferentes a nómina se registran en la bitácora y en Central de Cuentas se calculan las retenciones correspondientes. Al respecto, selectivamente se observó que la causación contiene las retenciones por concepto de Estampillas (Procultura, adulto mayor, Universidad Distrital y Universidad Pedagógica) y Retenciones (ICA, Fuente e IVA).</w:t>
            </w:r>
          </w:p>
          <w:p w14:paraId="524A5BA6" w14:textId="44AE8260" w:rsidR="00E07019" w:rsidRDefault="00E07019" w:rsidP="00AB0D29">
            <w:pPr>
              <w:suppressAutoHyphens w:val="0"/>
              <w:autoSpaceDN/>
              <w:textAlignment w:val="auto"/>
              <w:rPr>
                <w:rFonts w:asciiTheme="minorHAnsi" w:hAnsiTheme="minorHAnsi" w:cstheme="minorHAnsi"/>
                <w:sz w:val="16"/>
                <w:szCs w:val="16"/>
                <w:lang w:val="es-CO" w:eastAsia="es-CO"/>
              </w:rPr>
            </w:pPr>
          </w:p>
          <w:p w14:paraId="5361D014" w14:textId="67537191" w:rsidR="00974783" w:rsidRDefault="00CB152B" w:rsidP="00AB0D29">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A pesar de no tener respuesta por parte de STC ni de STRD, se observa que </w:t>
            </w:r>
            <w:r w:rsidR="00974783">
              <w:rPr>
                <w:rFonts w:asciiTheme="minorHAnsi" w:hAnsiTheme="minorHAnsi" w:cstheme="minorHAnsi"/>
                <w:sz w:val="16"/>
                <w:szCs w:val="16"/>
                <w:lang w:val="es-CO" w:eastAsia="es-CO"/>
              </w:rPr>
              <w:t xml:space="preserve">la totalidad de las cuentas deben radicarse en Central de Cuentas (grupo de trabajo perteneciente al área contable), donde se consolida la documentación de </w:t>
            </w:r>
            <w:r w:rsidR="00974783">
              <w:rPr>
                <w:rFonts w:asciiTheme="minorHAnsi" w:hAnsiTheme="minorHAnsi" w:cstheme="minorHAnsi"/>
                <w:sz w:val="16"/>
                <w:szCs w:val="16"/>
                <w:lang w:val="es-CO" w:eastAsia="es-CO"/>
              </w:rPr>
              <w:lastRenderedPageBreak/>
              <w:t>CXP y se trasladan a contabilidad, donde se realizan los cálculos de retenciones y se causan contablemente.</w:t>
            </w:r>
          </w:p>
          <w:p w14:paraId="43559128" w14:textId="77777777" w:rsidR="00CB152B" w:rsidRPr="00871E92" w:rsidRDefault="00CB152B" w:rsidP="00E07019">
            <w:pPr>
              <w:suppressAutoHyphens w:val="0"/>
              <w:autoSpaceDN/>
              <w:jc w:val="left"/>
              <w:textAlignment w:val="auto"/>
              <w:rPr>
                <w:rFonts w:asciiTheme="minorHAnsi" w:hAnsiTheme="minorHAnsi" w:cstheme="minorHAnsi"/>
                <w:sz w:val="16"/>
                <w:szCs w:val="16"/>
                <w:lang w:val="es-CO" w:eastAsia="es-CO"/>
              </w:rPr>
            </w:pPr>
          </w:p>
          <w:p w14:paraId="255CE1FE" w14:textId="23BB7D7F" w:rsidR="00E07019" w:rsidRDefault="00E07019" w:rsidP="00E07019">
            <w:pPr>
              <w:suppressAutoHyphens w:val="0"/>
              <w:autoSpaceDN/>
              <w:jc w:val="left"/>
              <w:textAlignment w:val="auto"/>
              <w:rPr>
                <w:rFonts w:asciiTheme="minorHAnsi" w:hAnsiTheme="minorHAnsi" w:cstheme="minorHAnsi"/>
                <w:sz w:val="16"/>
                <w:szCs w:val="16"/>
                <w:lang w:val="es-CO" w:eastAsia="es-CO"/>
              </w:rPr>
            </w:pPr>
            <w:r w:rsidRPr="00871E92">
              <w:rPr>
                <w:rFonts w:asciiTheme="minorHAnsi" w:hAnsiTheme="minorHAnsi" w:cstheme="minorHAnsi"/>
                <w:sz w:val="16"/>
                <w:szCs w:val="16"/>
                <w:lang w:val="es-CO" w:eastAsia="es-CO"/>
              </w:rPr>
              <w:t>Con base en lo anterior, se da cumplimiento a la actividad definida en el PSC.</w:t>
            </w:r>
          </w:p>
          <w:p w14:paraId="6ACA2A28" w14:textId="68C02322" w:rsidR="002E7A9D" w:rsidRDefault="002E7A9D" w:rsidP="00E07019">
            <w:pPr>
              <w:suppressAutoHyphens w:val="0"/>
              <w:autoSpaceDN/>
              <w:jc w:val="left"/>
              <w:textAlignment w:val="auto"/>
              <w:rPr>
                <w:rFonts w:asciiTheme="minorHAnsi" w:hAnsiTheme="minorHAnsi" w:cstheme="minorHAnsi"/>
                <w:sz w:val="16"/>
                <w:szCs w:val="16"/>
                <w:lang w:val="es-CO" w:eastAsia="es-CO"/>
              </w:rPr>
            </w:pPr>
          </w:p>
          <w:p w14:paraId="2E10D10E" w14:textId="5630C9AC" w:rsidR="002E7A9D" w:rsidRPr="00871E92" w:rsidRDefault="002E7A9D" w:rsidP="00E07019">
            <w:pPr>
              <w:suppressAutoHyphens w:val="0"/>
              <w:autoSpaceDN/>
              <w:jc w:val="left"/>
              <w:textAlignment w:val="auto"/>
              <w:rPr>
                <w:rFonts w:asciiTheme="minorHAnsi" w:hAnsiTheme="minorHAnsi" w:cstheme="minorHAnsi"/>
                <w:sz w:val="16"/>
                <w:szCs w:val="16"/>
                <w:lang w:val="es-CO" w:eastAsia="es-CO"/>
              </w:rPr>
            </w:pPr>
            <w:r w:rsidRPr="002E7A9D">
              <w:rPr>
                <w:rFonts w:asciiTheme="minorHAnsi" w:hAnsiTheme="minorHAnsi" w:cstheme="minorHAnsi"/>
                <w:bCs/>
                <w:sz w:val="16"/>
                <w:szCs w:val="16"/>
                <w:lang w:val="es-CO" w:eastAsia="es-CO"/>
              </w:rPr>
              <w:t>La STRD no dio respuesta al requerimiento de información presentado por la Oficina de Control Interno con el memorando 20211500110583 del 17-mar-2021 ni a la reiteración de solicitud No. 20211500145353 del 16-abr-2021</w:t>
            </w:r>
            <w:r w:rsidRPr="004F047E">
              <w:rPr>
                <w:rFonts w:asciiTheme="minorHAnsi" w:hAnsiTheme="minorHAnsi" w:cstheme="minorHAnsi"/>
                <w:bCs/>
                <w:color w:val="FF0000"/>
                <w:sz w:val="16"/>
                <w:szCs w:val="16"/>
                <w:lang w:val="es-CO" w:eastAsia="es-CO"/>
              </w:rPr>
              <w:t>.</w:t>
            </w:r>
          </w:p>
          <w:p w14:paraId="0544DB9B" w14:textId="32AD0BD6" w:rsidR="00FC4D84" w:rsidRPr="00871E92" w:rsidRDefault="00FC4D84" w:rsidP="00ED72C2">
            <w:pPr>
              <w:suppressAutoHyphens w:val="0"/>
              <w:autoSpaceDN/>
              <w:jc w:val="left"/>
              <w:textAlignment w:val="auto"/>
              <w:rPr>
                <w:rFonts w:asciiTheme="minorHAnsi" w:hAnsiTheme="minorHAnsi" w:cstheme="minorHAnsi"/>
                <w:sz w:val="16"/>
                <w:szCs w:val="16"/>
                <w:lang w:val="es-CO" w:eastAsia="es-CO"/>
              </w:rPr>
            </w:pPr>
          </w:p>
        </w:tc>
      </w:tr>
      <w:tr w:rsidR="00441B6A" w:rsidRPr="00871E92" w14:paraId="500C14C0" w14:textId="77777777" w:rsidTr="00E07019">
        <w:trPr>
          <w:trHeight w:val="2540"/>
        </w:trPr>
        <w:tc>
          <w:tcPr>
            <w:tcW w:w="317" w:type="dxa"/>
            <w:vMerge/>
            <w:tcBorders>
              <w:left w:val="single" w:sz="4" w:space="0" w:color="auto"/>
              <w:right w:val="single" w:sz="4" w:space="0" w:color="auto"/>
            </w:tcBorders>
            <w:shd w:val="clear" w:color="auto" w:fill="auto"/>
            <w:vAlign w:val="center"/>
          </w:tcPr>
          <w:p w14:paraId="21165450" w14:textId="6405B6CD"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right w:val="single" w:sz="4" w:space="0" w:color="auto"/>
            </w:tcBorders>
            <w:shd w:val="clear" w:color="auto" w:fill="auto"/>
            <w:vAlign w:val="center"/>
          </w:tcPr>
          <w:p w14:paraId="70AD4253"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right w:val="single" w:sz="4" w:space="0" w:color="auto"/>
            </w:tcBorders>
            <w:shd w:val="clear" w:color="auto" w:fill="auto"/>
            <w:vAlign w:val="center"/>
          </w:tcPr>
          <w:p w14:paraId="41D64C02" w14:textId="77777777" w:rsidR="00441B6A" w:rsidRPr="000B0F0A" w:rsidRDefault="00441B6A" w:rsidP="00ED72C2">
            <w:pPr>
              <w:suppressAutoHyphens w:val="0"/>
              <w:autoSpaceDN/>
              <w:textAlignment w:val="auto"/>
              <w:rPr>
                <w:rFonts w:asciiTheme="minorHAnsi" w:hAnsiTheme="minorHAnsi" w:cstheme="minorHAnsi"/>
                <w:sz w:val="16"/>
                <w:szCs w:val="16"/>
                <w:lang w:val="es-CO" w:eastAsia="es-CO"/>
              </w:rPr>
            </w:pPr>
          </w:p>
        </w:tc>
        <w:tc>
          <w:tcPr>
            <w:tcW w:w="3544" w:type="dxa"/>
            <w:vMerge/>
            <w:tcBorders>
              <w:left w:val="nil"/>
              <w:right w:val="single" w:sz="4" w:space="0" w:color="auto"/>
            </w:tcBorders>
            <w:shd w:val="clear" w:color="auto" w:fill="auto"/>
            <w:vAlign w:val="center"/>
          </w:tcPr>
          <w:p w14:paraId="552ECB42" w14:textId="77777777" w:rsidR="00441B6A" w:rsidRPr="000B0F0A" w:rsidRDefault="00441B6A" w:rsidP="00ED72C2">
            <w:pPr>
              <w:suppressAutoHyphens w:val="0"/>
              <w:autoSpaceDN/>
              <w:textAlignment w:val="auto"/>
              <w:rPr>
                <w:rFonts w:asciiTheme="minorHAnsi" w:hAnsiTheme="minorHAnsi" w:cstheme="minorHAnsi"/>
                <w:b/>
                <w:bCs/>
                <w:color w:val="000000"/>
                <w:sz w:val="16"/>
                <w:szCs w:val="16"/>
                <w:lang w:val="es-CO" w:eastAsia="es-CO"/>
              </w:rPr>
            </w:pPr>
          </w:p>
        </w:tc>
        <w:tc>
          <w:tcPr>
            <w:tcW w:w="1276" w:type="dxa"/>
            <w:vMerge/>
            <w:tcBorders>
              <w:left w:val="nil"/>
              <w:right w:val="single" w:sz="4" w:space="0" w:color="auto"/>
            </w:tcBorders>
            <w:shd w:val="clear" w:color="auto" w:fill="auto"/>
            <w:vAlign w:val="center"/>
          </w:tcPr>
          <w:p w14:paraId="7F387758"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p>
        </w:tc>
        <w:tc>
          <w:tcPr>
            <w:tcW w:w="1984" w:type="dxa"/>
            <w:vMerge/>
            <w:tcBorders>
              <w:left w:val="nil"/>
              <w:right w:val="single" w:sz="4" w:space="0" w:color="auto"/>
            </w:tcBorders>
            <w:shd w:val="clear" w:color="auto" w:fill="auto"/>
            <w:vAlign w:val="center"/>
          </w:tcPr>
          <w:p w14:paraId="3447590A"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46F4C3F" w14:textId="77777777" w:rsidR="00441B6A" w:rsidRDefault="00441B6A" w:rsidP="00ED72C2">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Contabilidad</w:t>
            </w:r>
          </w:p>
          <w:p w14:paraId="302FA807" w14:textId="0B05A6B6" w:rsidR="00441B6A" w:rsidRPr="000B0F0A" w:rsidRDefault="00441B6A" w:rsidP="00ED72C2">
            <w:pPr>
              <w:jc w:val="center"/>
              <w:rPr>
                <w:rFonts w:asciiTheme="minorHAnsi" w:hAnsiTheme="minorHAnsi" w:cstheme="minorHAnsi"/>
                <w:sz w:val="16"/>
                <w:szCs w:val="16"/>
                <w:lang w:val="es-CO" w:eastAsia="es-CO"/>
              </w:rPr>
            </w:pPr>
            <w:r w:rsidRPr="00F64C0C">
              <w:rPr>
                <w:rFonts w:asciiTheme="minorHAnsi" w:hAnsiTheme="minorHAnsi" w:cstheme="minorHAnsi"/>
                <w:sz w:val="16"/>
                <w:szCs w:val="16"/>
                <w:lang w:val="es-CO" w:eastAsia="es-CO"/>
              </w:rPr>
              <w:t>20213330122183</w:t>
            </w:r>
          </w:p>
        </w:tc>
        <w:tc>
          <w:tcPr>
            <w:tcW w:w="993" w:type="dxa"/>
            <w:vMerge/>
            <w:tcBorders>
              <w:left w:val="nil"/>
              <w:right w:val="single" w:sz="4" w:space="0" w:color="auto"/>
            </w:tcBorders>
            <w:shd w:val="clear" w:color="auto" w:fill="92D050"/>
            <w:vAlign w:val="center"/>
          </w:tcPr>
          <w:p w14:paraId="2F4DF4C1"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5CB34C47" w14:textId="11FA785E" w:rsidR="00441B6A" w:rsidRPr="00F64C0C" w:rsidRDefault="00441B6A" w:rsidP="00ED72C2">
            <w:pPr>
              <w:rPr>
                <w:rFonts w:asciiTheme="minorHAnsi" w:hAnsiTheme="minorHAnsi" w:cstheme="minorHAnsi"/>
                <w:bCs/>
                <w:sz w:val="16"/>
                <w:szCs w:val="16"/>
                <w:lang w:val="es-CO" w:eastAsia="es-CO"/>
              </w:rPr>
            </w:pPr>
            <w:r w:rsidRPr="00F64C0C">
              <w:rPr>
                <w:rFonts w:asciiTheme="minorHAnsi" w:hAnsiTheme="minorHAnsi" w:cstheme="minorHAnsi"/>
                <w:bCs/>
                <w:sz w:val="16"/>
                <w:szCs w:val="16"/>
                <w:lang w:val="es-CO" w:eastAsia="es-CO"/>
              </w:rPr>
              <w:t>El área</w:t>
            </w:r>
            <w:r>
              <w:rPr>
                <w:rFonts w:asciiTheme="minorHAnsi" w:hAnsiTheme="minorHAnsi" w:cstheme="minorHAnsi"/>
                <w:bCs/>
                <w:sz w:val="16"/>
                <w:szCs w:val="16"/>
                <w:lang w:val="es-CO" w:eastAsia="es-CO"/>
              </w:rPr>
              <w:t xml:space="preserve"> de contabilidad informa que “</w:t>
            </w:r>
            <w:r w:rsidRPr="00F64C0C">
              <w:rPr>
                <w:rFonts w:asciiTheme="minorHAnsi" w:hAnsiTheme="minorHAnsi" w:cstheme="minorHAnsi"/>
                <w:bCs/>
                <w:i/>
                <w:sz w:val="16"/>
                <w:szCs w:val="16"/>
                <w:lang w:val="es-CO" w:eastAsia="es-CO"/>
              </w:rPr>
              <w:t>En razón al alto volumen de cuenta que se tiene al mes se remite selectivo de las causaciones del mes de febrero de 2021, donde se evidencia el número de la bitácora para asignada para cada obligación, cabe anotar que para el mes de febrero se asignaron bitácoras de la 36 a la 2872 y que alguna de ellas no generan impuesto alguno.”</w:t>
            </w:r>
          </w:p>
        </w:tc>
        <w:tc>
          <w:tcPr>
            <w:tcW w:w="3969" w:type="dxa"/>
            <w:vMerge/>
            <w:tcBorders>
              <w:left w:val="nil"/>
              <w:right w:val="single" w:sz="4" w:space="0" w:color="auto"/>
            </w:tcBorders>
            <w:shd w:val="clear" w:color="auto" w:fill="auto"/>
            <w:noWrap/>
            <w:vAlign w:val="center"/>
          </w:tcPr>
          <w:p w14:paraId="65823A86" w14:textId="77777777" w:rsidR="00441B6A" w:rsidRPr="00871E92" w:rsidRDefault="00441B6A" w:rsidP="00ED72C2">
            <w:pPr>
              <w:jc w:val="left"/>
              <w:rPr>
                <w:rFonts w:asciiTheme="minorHAnsi" w:hAnsiTheme="minorHAnsi" w:cstheme="minorHAnsi"/>
                <w:sz w:val="16"/>
                <w:szCs w:val="16"/>
                <w:lang w:val="es-CO" w:eastAsia="es-CO"/>
              </w:rPr>
            </w:pPr>
          </w:p>
        </w:tc>
      </w:tr>
      <w:tr w:rsidR="00441B6A" w:rsidRPr="00871E92" w14:paraId="7D136BE6" w14:textId="77777777" w:rsidTr="00E07019">
        <w:trPr>
          <w:trHeight w:val="1826"/>
        </w:trPr>
        <w:tc>
          <w:tcPr>
            <w:tcW w:w="317" w:type="dxa"/>
            <w:vMerge/>
            <w:tcBorders>
              <w:left w:val="single" w:sz="4" w:space="0" w:color="auto"/>
              <w:bottom w:val="single" w:sz="4" w:space="0" w:color="auto"/>
              <w:right w:val="single" w:sz="4" w:space="0" w:color="auto"/>
            </w:tcBorders>
            <w:shd w:val="clear" w:color="auto" w:fill="auto"/>
            <w:vAlign w:val="center"/>
          </w:tcPr>
          <w:p w14:paraId="5196FD02"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bottom w:val="single" w:sz="4" w:space="0" w:color="auto"/>
              <w:right w:val="single" w:sz="4" w:space="0" w:color="auto"/>
            </w:tcBorders>
            <w:shd w:val="clear" w:color="auto" w:fill="auto"/>
            <w:vAlign w:val="center"/>
          </w:tcPr>
          <w:p w14:paraId="28750FCB"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bottom w:val="single" w:sz="4" w:space="0" w:color="auto"/>
              <w:right w:val="single" w:sz="4" w:space="0" w:color="auto"/>
            </w:tcBorders>
            <w:shd w:val="clear" w:color="auto" w:fill="auto"/>
            <w:vAlign w:val="center"/>
          </w:tcPr>
          <w:p w14:paraId="2DEB9EF6" w14:textId="77777777" w:rsidR="00441B6A" w:rsidRPr="000B0F0A" w:rsidRDefault="00441B6A" w:rsidP="00ED72C2">
            <w:pPr>
              <w:suppressAutoHyphens w:val="0"/>
              <w:autoSpaceDN/>
              <w:textAlignment w:val="auto"/>
              <w:rPr>
                <w:rFonts w:asciiTheme="minorHAnsi" w:hAnsiTheme="minorHAnsi" w:cstheme="minorHAnsi"/>
                <w:sz w:val="16"/>
                <w:szCs w:val="16"/>
                <w:lang w:val="es-CO" w:eastAsia="es-CO"/>
              </w:rPr>
            </w:pPr>
          </w:p>
        </w:tc>
        <w:tc>
          <w:tcPr>
            <w:tcW w:w="3544" w:type="dxa"/>
            <w:vMerge/>
            <w:tcBorders>
              <w:left w:val="nil"/>
              <w:bottom w:val="single" w:sz="4" w:space="0" w:color="auto"/>
              <w:right w:val="single" w:sz="4" w:space="0" w:color="auto"/>
            </w:tcBorders>
            <w:shd w:val="clear" w:color="auto" w:fill="auto"/>
            <w:vAlign w:val="center"/>
          </w:tcPr>
          <w:p w14:paraId="433E1065" w14:textId="77777777" w:rsidR="00441B6A" w:rsidRPr="000B0F0A" w:rsidRDefault="00441B6A" w:rsidP="00ED72C2">
            <w:pPr>
              <w:suppressAutoHyphens w:val="0"/>
              <w:autoSpaceDN/>
              <w:textAlignment w:val="auto"/>
              <w:rPr>
                <w:rFonts w:asciiTheme="minorHAnsi" w:hAnsiTheme="minorHAnsi" w:cstheme="minorHAnsi"/>
                <w:b/>
                <w:bCs/>
                <w:color w:val="000000"/>
                <w:sz w:val="16"/>
                <w:szCs w:val="16"/>
                <w:lang w:val="es-CO" w:eastAsia="es-CO"/>
              </w:rPr>
            </w:pPr>
          </w:p>
        </w:tc>
        <w:tc>
          <w:tcPr>
            <w:tcW w:w="1276" w:type="dxa"/>
            <w:vMerge/>
            <w:tcBorders>
              <w:left w:val="nil"/>
              <w:bottom w:val="single" w:sz="4" w:space="0" w:color="auto"/>
              <w:right w:val="single" w:sz="4" w:space="0" w:color="auto"/>
            </w:tcBorders>
            <w:shd w:val="clear" w:color="auto" w:fill="auto"/>
            <w:vAlign w:val="center"/>
          </w:tcPr>
          <w:p w14:paraId="3F07C20A"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p>
        </w:tc>
        <w:tc>
          <w:tcPr>
            <w:tcW w:w="1984" w:type="dxa"/>
            <w:vMerge/>
            <w:tcBorders>
              <w:left w:val="nil"/>
              <w:bottom w:val="single" w:sz="4" w:space="0" w:color="auto"/>
              <w:right w:val="single" w:sz="4" w:space="0" w:color="auto"/>
            </w:tcBorders>
            <w:shd w:val="clear" w:color="auto" w:fill="auto"/>
            <w:vAlign w:val="center"/>
          </w:tcPr>
          <w:p w14:paraId="27ABE12F"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2510C58" w14:textId="77777777" w:rsidR="00441B6A" w:rsidRDefault="00441B6A" w:rsidP="00ED72C2">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STC: </w:t>
            </w:r>
            <w:r w:rsidRPr="00667485">
              <w:rPr>
                <w:rFonts w:asciiTheme="minorHAnsi" w:hAnsiTheme="minorHAnsi" w:cstheme="minorHAnsi"/>
                <w:sz w:val="16"/>
                <w:szCs w:val="16"/>
                <w:lang w:val="es-CO" w:eastAsia="es-CO"/>
              </w:rPr>
              <w:t>20211500110583</w:t>
            </w:r>
          </w:p>
          <w:p w14:paraId="2A05B853" w14:textId="77777777" w:rsidR="00441B6A" w:rsidRDefault="00441B6A" w:rsidP="00ED72C2">
            <w:pPr>
              <w:jc w:val="center"/>
              <w:rPr>
                <w:rFonts w:asciiTheme="minorHAnsi" w:hAnsiTheme="minorHAnsi" w:cstheme="minorHAnsi"/>
                <w:sz w:val="16"/>
                <w:szCs w:val="16"/>
                <w:lang w:val="es-CO" w:eastAsia="es-CO"/>
              </w:rPr>
            </w:pPr>
          </w:p>
          <w:p w14:paraId="1B852E30" w14:textId="77777777" w:rsidR="00441B6A" w:rsidRDefault="00441B6A" w:rsidP="00ED72C2">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STP</w:t>
            </w:r>
          </w:p>
          <w:p w14:paraId="5045B872" w14:textId="77777777" w:rsidR="00441B6A" w:rsidRDefault="00441B6A" w:rsidP="00ED72C2">
            <w:pPr>
              <w:jc w:val="center"/>
              <w:rPr>
                <w:rFonts w:asciiTheme="minorHAnsi" w:hAnsiTheme="minorHAnsi" w:cstheme="minorHAnsi"/>
                <w:sz w:val="16"/>
                <w:szCs w:val="16"/>
                <w:lang w:val="es-CO" w:eastAsia="es-CO"/>
              </w:rPr>
            </w:pPr>
            <w:r w:rsidRPr="00FE664A">
              <w:rPr>
                <w:rFonts w:asciiTheme="minorHAnsi" w:hAnsiTheme="minorHAnsi" w:cstheme="minorHAnsi"/>
                <w:sz w:val="16"/>
                <w:szCs w:val="16"/>
                <w:lang w:val="es-CO" w:eastAsia="es-CO"/>
              </w:rPr>
              <w:t>20216200126483</w:t>
            </w:r>
          </w:p>
          <w:p w14:paraId="302521D8" w14:textId="77777777" w:rsidR="00505A29" w:rsidRDefault="00505A29" w:rsidP="00ED72C2">
            <w:pPr>
              <w:jc w:val="center"/>
              <w:rPr>
                <w:rFonts w:asciiTheme="minorHAnsi" w:hAnsiTheme="minorHAnsi" w:cstheme="minorHAnsi"/>
                <w:sz w:val="16"/>
                <w:szCs w:val="16"/>
                <w:lang w:val="es-CO" w:eastAsia="es-CO"/>
              </w:rPr>
            </w:pPr>
          </w:p>
          <w:p w14:paraId="0B653F35" w14:textId="77777777" w:rsidR="00505A29" w:rsidRPr="002E7A9D" w:rsidRDefault="00505A29" w:rsidP="00ED72C2">
            <w:pPr>
              <w:jc w:val="center"/>
              <w:rPr>
                <w:rFonts w:asciiTheme="minorHAnsi" w:hAnsiTheme="minorHAnsi" w:cstheme="minorHAnsi"/>
                <w:sz w:val="16"/>
                <w:szCs w:val="16"/>
                <w:lang w:val="es-CO" w:eastAsia="es-CO"/>
              </w:rPr>
            </w:pPr>
            <w:r w:rsidRPr="002E7A9D">
              <w:rPr>
                <w:rFonts w:asciiTheme="minorHAnsi" w:hAnsiTheme="minorHAnsi" w:cstheme="minorHAnsi"/>
                <w:sz w:val="16"/>
                <w:szCs w:val="16"/>
                <w:lang w:val="es-CO" w:eastAsia="es-CO"/>
              </w:rPr>
              <w:t>STRD</w:t>
            </w:r>
          </w:p>
          <w:p w14:paraId="07EAA2F7" w14:textId="678F4777" w:rsidR="00505A29" w:rsidRPr="000B0F0A" w:rsidRDefault="002E7A9D" w:rsidP="00ED72C2">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Sin respuesta</w:t>
            </w:r>
          </w:p>
        </w:tc>
        <w:tc>
          <w:tcPr>
            <w:tcW w:w="993" w:type="dxa"/>
            <w:vMerge/>
            <w:tcBorders>
              <w:left w:val="nil"/>
              <w:bottom w:val="single" w:sz="4" w:space="0" w:color="auto"/>
              <w:right w:val="single" w:sz="4" w:space="0" w:color="auto"/>
            </w:tcBorders>
            <w:shd w:val="clear" w:color="auto" w:fill="92D050"/>
            <w:vAlign w:val="center"/>
          </w:tcPr>
          <w:p w14:paraId="4F7A9DDE" w14:textId="77777777" w:rsidR="00441B6A" w:rsidRPr="000B0F0A" w:rsidRDefault="00441B6A" w:rsidP="00ED72C2">
            <w:pPr>
              <w:suppressAutoHyphens w:val="0"/>
              <w:autoSpaceDN/>
              <w:jc w:val="center"/>
              <w:textAlignment w:val="auto"/>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0FE493C0" w14:textId="5C02AC43" w:rsidR="00441B6A" w:rsidRDefault="00441B6A" w:rsidP="00ED72C2">
            <w:pPr>
              <w:suppressAutoHyphens w:val="0"/>
              <w:autoSpaceDN/>
              <w:jc w:val="left"/>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La STC</w:t>
            </w:r>
            <w:r w:rsidRPr="008036C3">
              <w:rPr>
                <w:rFonts w:asciiTheme="minorHAnsi" w:hAnsiTheme="minorHAnsi" w:cstheme="minorHAnsi"/>
                <w:bCs/>
                <w:sz w:val="16"/>
                <w:szCs w:val="16"/>
                <w:lang w:val="es-CO" w:eastAsia="es-CO"/>
              </w:rPr>
              <w:t xml:space="preserve"> no emit</w:t>
            </w:r>
            <w:r>
              <w:rPr>
                <w:rFonts w:asciiTheme="minorHAnsi" w:hAnsiTheme="minorHAnsi" w:cstheme="minorHAnsi"/>
                <w:bCs/>
                <w:sz w:val="16"/>
                <w:szCs w:val="16"/>
                <w:lang w:val="es-CO" w:eastAsia="es-CO"/>
              </w:rPr>
              <w:t xml:space="preserve">ió </w:t>
            </w:r>
            <w:r w:rsidRPr="008036C3">
              <w:rPr>
                <w:rFonts w:asciiTheme="minorHAnsi" w:hAnsiTheme="minorHAnsi" w:cstheme="minorHAnsi"/>
                <w:bCs/>
                <w:sz w:val="16"/>
                <w:szCs w:val="16"/>
                <w:lang w:val="es-CO" w:eastAsia="es-CO"/>
              </w:rPr>
              <w:t xml:space="preserve">respuesta a la solicitud sobre este tema, ante el requerimiento </w:t>
            </w:r>
            <w:r w:rsidRPr="00B84271">
              <w:rPr>
                <w:rFonts w:asciiTheme="minorHAnsi" w:hAnsiTheme="minorHAnsi" w:cstheme="minorHAnsi"/>
                <w:bCs/>
                <w:sz w:val="16"/>
                <w:szCs w:val="16"/>
                <w:lang w:val="es-CO" w:eastAsia="es-CO"/>
              </w:rPr>
              <w:t>20211500110583</w:t>
            </w:r>
            <w:r w:rsidR="00E914CC">
              <w:rPr>
                <w:rFonts w:asciiTheme="minorHAnsi" w:hAnsiTheme="minorHAnsi" w:cstheme="minorHAnsi"/>
                <w:bCs/>
                <w:sz w:val="16"/>
                <w:szCs w:val="16"/>
                <w:lang w:val="es-CO" w:eastAsia="es-CO"/>
              </w:rPr>
              <w:t xml:space="preserve"> del 17-abril-</w:t>
            </w:r>
            <w:r>
              <w:rPr>
                <w:rFonts w:asciiTheme="minorHAnsi" w:hAnsiTheme="minorHAnsi" w:cstheme="minorHAnsi"/>
                <w:bCs/>
                <w:sz w:val="16"/>
                <w:szCs w:val="16"/>
                <w:lang w:val="es-CO" w:eastAsia="es-CO"/>
              </w:rPr>
              <w:t>2021</w:t>
            </w:r>
            <w:r w:rsidRPr="008036C3">
              <w:rPr>
                <w:rFonts w:asciiTheme="minorHAnsi" w:hAnsiTheme="minorHAnsi" w:cstheme="minorHAnsi"/>
                <w:bCs/>
                <w:sz w:val="16"/>
                <w:szCs w:val="16"/>
                <w:lang w:val="es-CO" w:eastAsia="es-CO"/>
              </w:rPr>
              <w:t>.</w:t>
            </w:r>
          </w:p>
          <w:p w14:paraId="1885FBA6" w14:textId="77777777" w:rsidR="00441B6A" w:rsidRDefault="00441B6A" w:rsidP="00ED72C2">
            <w:pPr>
              <w:suppressAutoHyphens w:val="0"/>
              <w:autoSpaceDN/>
              <w:jc w:val="left"/>
              <w:textAlignment w:val="auto"/>
              <w:rPr>
                <w:rFonts w:asciiTheme="minorHAnsi" w:hAnsiTheme="minorHAnsi" w:cstheme="minorHAnsi"/>
                <w:b/>
                <w:bCs/>
                <w:sz w:val="16"/>
                <w:szCs w:val="16"/>
                <w:lang w:val="es-CO" w:eastAsia="es-CO"/>
              </w:rPr>
            </w:pPr>
          </w:p>
          <w:p w14:paraId="2E073A12" w14:textId="40F6D1A4" w:rsidR="00441B6A" w:rsidRPr="00FE664A" w:rsidRDefault="00441B6A" w:rsidP="00FE664A">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 xml:space="preserve">La STP informa que </w:t>
            </w:r>
            <w:r w:rsidRPr="00FE664A">
              <w:rPr>
                <w:rFonts w:asciiTheme="minorHAnsi" w:hAnsiTheme="minorHAnsi" w:cstheme="minorHAnsi"/>
                <w:bCs/>
                <w:i/>
                <w:sz w:val="16"/>
                <w:szCs w:val="16"/>
                <w:lang w:val="es-CO" w:eastAsia="es-CO"/>
              </w:rPr>
              <w:t>“tramitó las planillas de recurso humano contratado, con las relaciones de pago incluyendo las retenciones aplicada a la modalidad de contrato. En las cuentas individuales, la aplicación de las retenciones la realiza el Área de Contabilidad una vez ingresan las cuentas por pagar por todo concepto a la central de Cuentas.”</w:t>
            </w:r>
          </w:p>
        </w:tc>
        <w:tc>
          <w:tcPr>
            <w:tcW w:w="3969" w:type="dxa"/>
            <w:vMerge/>
            <w:tcBorders>
              <w:left w:val="nil"/>
              <w:bottom w:val="single" w:sz="4" w:space="0" w:color="auto"/>
              <w:right w:val="single" w:sz="4" w:space="0" w:color="auto"/>
            </w:tcBorders>
            <w:shd w:val="clear" w:color="auto" w:fill="auto"/>
            <w:noWrap/>
            <w:vAlign w:val="center"/>
          </w:tcPr>
          <w:p w14:paraId="664B9802" w14:textId="77777777" w:rsidR="00441B6A" w:rsidRPr="00871E92" w:rsidRDefault="00441B6A" w:rsidP="00ED72C2">
            <w:pPr>
              <w:suppressAutoHyphens w:val="0"/>
              <w:autoSpaceDN/>
              <w:jc w:val="left"/>
              <w:textAlignment w:val="auto"/>
              <w:rPr>
                <w:rFonts w:asciiTheme="minorHAnsi" w:hAnsiTheme="minorHAnsi" w:cstheme="minorHAnsi"/>
                <w:sz w:val="16"/>
                <w:szCs w:val="16"/>
                <w:lang w:val="es-CO" w:eastAsia="es-CO"/>
              </w:rPr>
            </w:pPr>
          </w:p>
        </w:tc>
      </w:tr>
      <w:tr w:rsidR="00ED72C2" w:rsidRPr="00871E92" w14:paraId="78636A25" w14:textId="77777777" w:rsidTr="007C4117">
        <w:trPr>
          <w:cantSplit/>
          <w:trHeight w:val="4481"/>
        </w:trPr>
        <w:tc>
          <w:tcPr>
            <w:tcW w:w="317" w:type="dxa"/>
            <w:tcBorders>
              <w:top w:val="nil"/>
              <w:left w:val="single" w:sz="4" w:space="0" w:color="auto"/>
              <w:bottom w:val="single" w:sz="4" w:space="0" w:color="auto"/>
              <w:right w:val="single" w:sz="4" w:space="0" w:color="auto"/>
            </w:tcBorders>
            <w:shd w:val="clear" w:color="auto" w:fill="auto"/>
            <w:vAlign w:val="center"/>
            <w:hideMark/>
          </w:tcPr>
          <w:p w14:paraId="2933878E"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14</w:t>
            </w:r>
          </w:p>
        </w:tc>
        <w:tc>
          <w:tcPr>
            <w:tcW w:w="954" w:type="dxa"/>
            <w:tcBorders>
              <w:top w:val="nil"/>
              <w:left w:val="nil"/>
              <w:bottom w:val="single" w:sz="4" w:space="0" w:color="auto"/>
              <w:right w:val="single" w:sz="4" w:space="0" w:color="auto"/>
            </w:tcBorders>
            <w:shd w:val="clear" w:color="auto" w:fill="auto"/>
            <w:vAlign w:val="center"/>
            <w:hideMark/>
          </w:tcPr>
          <w:p w14:paraId="38E42CE0"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Activos y pasivos Contingentes</w:t>
            </w:r>
          </w:p>
        </w:tc>
        <w:tc>
          <w:tcPr>
            <w:tcW w:w="3969" w:type="dxa"/>
            <w:tcBorders>
              <w:top w:val="nil"/>
              <w:left w:val="nil"/>
              <w:bottom w:val="single" w:sz="4" w:space="0" w:color="auto"/>
              <w:right w:val="single" w:sz="4" w:space="0" w:color="auto"/>
            </w:tcBorders>
            <w:shd w:val="clear" w:color="auto" w:fill="auto"/>
            <w:vAlign w:val="center"/>
            <w:hideMark/>
          </w:tcPr>
          <w:p w14:paraId="249A627F" w14:textId="1CBD241A" w:rsidR="00ED72C2" w:rsidRPr="000B0F0A" w:rsidRDefault="00ED72C2" w:rsidP="00ED72C2">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Enviar a Contabilidad trimestralmente, relación de los procesos en contra y a favor que ingresan o que se retiran del aplicativo diseñado para la administración y control de los procesos judiciales de Bogotá D.C sistema SIPROJ, informando: número del proceso, año, NIT o cédula del demandante, nombre, valor de la pretensión inicial y valor actualizado del proceso.</w:t>
            </w:r>
          </w:p>
        </w:tc>
        <w:tc>
          <w:tcPr>
            <w:tcW w:w="3544" w:type="dxa"/>
            <w:tcBorders>
              <w:top w:val="nil"/>
              <w:left w:val="nil"/>
              <w:bottom w:val="single" w:sz="4" w:space="0" w:color="auto"/>
              <w:right w:val="single" w:sz="4" w:space="0" w:color="auto"/>
            </w:tcBorders>
            <w:shd w:val="clear" w:color="auto" w:fill="auto"/>
            <w:vAlign w:val="center"/>
            <w:hideMark/>
          </w:tcPr>
          <w:p w14:paraId="51C162CD" w14:textId="77777777" w:rsidR="00ED72C2" w:rsidRPr="000B0F0A" w:rsidRDefault="00ED72C2" w:rsidP="00ED72C2">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t xml:space="preserve">12.11.4.1 </w:t>
            </w:r>
            <w:r w:rsidRPr="000B0F0A">
              <w:rPr>
                <w:rFonts w:asciiTheme="minorHAnsi" w:hAnsiTheme="minorHAnsi" w:cstheme="minorHAnsi"/>
                <w:b/>
                <w:bCs/>
                <w:color w:val="000000"/>
                <w:sz w:val="16"/>
                <w:szCs w:val="16"/>
                <w:lang w:val="es-CO" w:eastAsia="es-CO"/>
              </w:rPr>
              <w:t>Pasivos Contingentes - Reconocimiento:</w:t>
            </w:r>
            <w:r w:rsidRPr="000B0F0A">
              <w:rPr>
                <w:rFonts w:asciiTheme="minorHAnsi" w:hAnsiTheme="minorHAnsi" w:cstheme="minorHAnsi"/>
                <w:b/>
                <w:bCs/>
                <w:i/>
                <w:iCs/>
                <w:color w:val="000000"/>
                <w:sz w:val="16"/>
                <w:szCs w:val="16"/>
                <w:lang w:val="es-CO" w:eastAsia="es-CO"/>
              </w:rPr>
              <w:t xml:space="preserve"> </w:t>
            </w:r>
            <w:r w:rsidRPr="000B0F0A">
              <w:rPr>
                <w:rFonts w:asciiTheme="minorHAnsi" w:hAnsiTheme="minorHAnsi" w:cstheme="minorHAnsi"/>
                <w:i/>
                <w:iCs/>
                <w:color w:val="000000"/>
                <w:sz w:val="16"/>
                <w:szCs w:val="16"/>
                <w:lang w:val="es-CO" w:eastAsia="es-CO"/>
              </w:rPr>
              <w:t xml:space="preserve">"...Los litigios y demandas en contra del </w:t>
            </w:r>
            <w:proofErr w:type="spellStart"/>
            <w:r w:rsidRPr="000B0F0A">
              <w:rPr>
                <w:rFonts w:asciiTheme="minorHAnsi" w:hAnsiTheme="minorHAnsi" w:cstheme="minorHAnsi"/>
                <w:i/>
                <w:iCs/>
                <w:color w:val="000000"/>
                <w:sz w:val="16"/>
                <w:szCs w:val="16"/>
                <w:lang w:val="es-CO" w:eastAsia="es-CO"/>
              </w:rPr>
              <w:t>lDRD</w:t>
            </w:r>
            <w:proofErr w:type="spellEnd"/>
            <w:r w:rsidRPr="000B0F0A">
              <w:rPr>
                <w:rFonts w:asciiTheme="minorHAnsi" w:hAnsiTheme="minorHAnsi" w:cstheme="minorHAnsi"/>
                <w:i/>
                <w:iCs/>
                <w:color w:val="000000"/>
                <w:sz w:val="16"/>
                <w:szCs w:val="16"/>
                <w:lang w:val="es-CO" w:eastAsia="es-CO"/>
              </w:rPr>
              <w:t>, clasificados en el reporte del aplicativo diseñado para la administración y control de los procesos judiciales de Bogotá D.C., como una obligación posible, es decir que tengan una probabilidad final de pérdida mayor al 10% Y hasta el 50%, serán clasificados como pasivos contingentes, se revelarán en cuentas de orden acreedoras, y se medirán por su cuantía de valoración..."</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t xml:space="preserve">12.11.6.1 </w:t>
            </w:r>
            <w:r w:rsidRPr="000B0F0A">
              <w:rPr>
                <w:rFonts w:asciiTheme="minorHAnsi" w:hAnsiTheme="minorHAnsi" w:cstheme="minorHAnsi"/>
                <w:b/>
                <w:bCs/>
                <w:i/>
                <w:iCs/>
                <w:color w:val="000000"/>
                <w:sz w:val="16"/>
                <w:szCs w:val="16"/>
                <w:lang w:val="es-CO" w:eastAsia="es-CO"/>
              </w:rPr>
              <w:t>Activos Contingentes - Reconocimiento:</w:t>
            </w:r>
            <w:r w:rsidRPr="000B0F0A">
              <w:rPr>
                <w:rFonts w:asciiTheme="minorHAnsi" w:hAnsiTheme="minorHAnsi" w:cstheme="minorHAnsi"/>
                <w:i/>
                <w:iCs/>
                <w:color w:val="000000"/>
                <w:sz w:val="16"/>
                <w:szCs w:val="16"/>
                <w:lang w:val="es-CO" w:eastAsia="es-CO"/>
              </w:rPr>
              <w:t xml:space="preserve"> "los litigios y demandas y mecanismos alternativos de solución de conflictos iniciados por el </w:t>
            </w:r>
            <w:proofErr w:type="spellStart"/>
            <w:r w:rsidRPr="000B0F0A">
              <w:rPr>
                <w:rFonts w:asciiTheme="minorHAnsi" w:hAnsiTheme="minorHAnsi" w:cstheme="minorHAnsi"/>
                <w:i/>
                <w:iCs/>
                <w:color w:val="000000"/>
                <w:sz w:val="16"/>
                <w:szCs w:val="16"/>
                <w:lang w:val="es-CO" w:eastAsia="es-CO"/>
              </w:rPr>
              <w:t>lDRD</w:t>
            </w:r>
            <w:proofErr w:type="spellEnd"/>
            <w:r w:rsidRPr="000B0F0A">
              <w:rPr>
                <w:rFonts w:asciiTheme="minorHAnsi" w:hAnsiTheme="minorHAnsi" w:cstheme="minorHAnsi"/>
                <w:i/>
                <w:iCs/>
                <w:color w:val="000000"/>
                <w:sz w:val="16"/>
                <w:szCs w:val="16"/>
                <w:lang w:val="es-CO" w:eastAsia="es-CO"/>
              </w:rPr>
              <w:t>, que den origen a un activo de naturaleza posible, serán revelados en cuentas de orden deudoras, como activos contingentes, por el valor de la cuantía de la pretensión inicial.</w:t>
            </w:r>
            <w:r w:rsidRPr="000B0F0A">
              <w:rPr>
                <w:rFonts w:asciiTheme="minorHAnsi" w:hAnsiTheme="minorHAnsi" w:cstheme="minorHAnsi"/>
                <w:i/>
                <w:iCs/>
                <w:color w:val="000000"/>
                <w:sz w:val="16"/>
                <w:szCs w:val="16"/>
                <w:lang w:val="es-CO" w:eastAsia="es-CO"/>
              </w:rPr>
              <w:br/>
              <w:t>Por otra parte, se deben clasificar como activos contingentes, los actos administrativos emitidos por las entidades que pueden generar un derecho, aunque no gocen de firmeza..."</w:t>
            </w:r>
          </w:p>
        </w:tc>
        <w:tc>
          <w:tcPr>
            <w:tcW w:w="1276" w:type="dxa"/>
            <w:tcBorders>
              <w:top w:val="nil"/>
              <w:left w:val="nil"/>
              <w:bottom w:val="single" w:sz="4" w:space="0" w:color="auto"/>
              <w:right w:val="single" w:sz="4" w:space="0" w:color="auto"/>
            </w:tcBorders>
            <w:shd w:val="clear" w:color="auto" w:fill="auto"/>
            <w:vAlign w:val="center"/>
            <w:hideMark/>
          </w:tcPr>
          <w:p w14:paraId="02F822F3" w14:textId="630F8EC9"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Ofici</w:t>
            </w:r>
            <w:r>
              <w:rPr>
                <w:rFonts w:asciiTheme="minorHAnsi" w:hAnsiTheme="minorHAnsi" w:cstheme="minorHAnsi"/>
                <w:sz w:val="16"/>
                <w:szCs w:val="16"/>
                <w:lang w:val="es-CO" w:eastAsia="es-CO"/>
              </w:rPr>
              <w:t>na Asesora Jurídica</w:t>
            </w:r>
          </w:p>
        </w:tc>
        <w:tc>
          <w:tcPr>
            <w:tcW w:w="1984" w:type="dxa"/>
            <w:tcBorders>
              <w:top w:val="nil"/>
              <w:left w:val="nil"/>
              <w:bottom w:val="single" w:sz="4" w:space="0" w:color="auto"/>
              <w:right w:val="single" w:sz="4" w:space="0" w:color="auto"/>
            </w:tcBorders>
            <w:shd w:val="clear" w:color="auto" w:fill="auto"/>
            <w:vAlign w:val="center"/>
            <w:hideMark/>
          </w:tcPr>
          <w:p w14:paraId="04617AE7"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xml:space="preserve">Trimestralmente </w:t>
            </w:r>
          </w:p>
        </w:tc>
        <w:tc>
          <w:tcPr>
            <w:tcW w:w="1559" w:type="dxa"/>
            <w:tcBorders>
              <w:top w:val="nil"/>
              <w:left w:val="nil"/>
              <w:bottom w:val="single" w:sz="4" w:space="0" w:color="auto"/>
              <w:right w:val="single" w:sz="4" w:space="0" w:color="auto"/>
            </w:tcBorders>
            <w:shd w:val="clear" w:color="auto" w:fill="auto"/>
            <w:vAlign w:val="center"/>
            <w:hideMark/>
          </w:tcPr>
          <w:p w14:paraId="2AB4B35B" w14:textId="5226DA00"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A17B1B">
              <w:rPr>
                <w:rFonts w:asciiTheme="minorHAnsi" w:hAnsiTheme="minorHAnsi" w:cstheme="minorHAnsi"/>
                <w:sz w:val="16"/>
                <w:szCs w:val="16"/>
                <w:lang w:val="es-CO" w:eastAsia="es-CO"/>
              </w:rPr>
              <w:t>20211100127903</w:t>
            </w:r>
          </w:p>
        </w:tc>
        <w:tc>
          <w:tcPr>
            <w:tcW w:w="993" w:type="dxa"/>
            <w:tcBorders>
              <w:top w:val="nil"/>
              <w:left w:val="nil"/>
              <w:bottom w:val="single" w:sz="4" w:space="0" w:color="auto"/>
              <w:right w:val="single" w:sz="4" w:space="0" w:color="auto"/>
            </w:tcBorders>
            <w:shd w:val="clear" w:color="auto" w:fill="92D050"/>
            <w:vAlign w:val="center"/>
            <w:hideMark/>
          </w:tcPr>
          <w:p w14:paraId="77ECA1C8" w14:textId="77777777" w:rsidR="00871E92" w:rsidRDefault="00871E9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SÍ</w:t>
            </w:r>
          </w:p>
          <w:p w14:paraId="715186CF" w14:textId="2BFC983D" w:rsidR="00ED72C2" w:rsidRPr="000B0F0A" w:rsidRDefault="00871E9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p>
        </w:tc>
        <w:tc>
          <w:tcPr>
            <w:tcW w:w="4110" w:type="dxa"/>
            <w:tcBorders>
              <w:top w:val="nil"/>
              <w:left w:val="nil"/>
              <w:bottom w:val="single" w:sz="4" w:space="0" w:color="auto"/>
              <w:right w:val="single" w:sz="4" w:space="0" w:color="auto"/>
            </w:tcBorders>
            <w:shd w:val="clear" w:color="auto" w:fill="auto"/>
            <w:noWrap/>
            <w:vAlign w:val="center"/>
            <w:hideMark/>
          </w:tcPr>
          <w:p w14:paraId="5FAD9F35" w14:textId="48F548B4" w:rsidR="00ED72C2" w:rsidRPr="00A17B1B" w:rsidRDefault="00ED72C2" w:rsidP="00ED72C2">
            <w:pPr>
              <w:suppressAutoHyphens w:val="0"/>
              <w:autoSpaceDN/>
              <w:textAlignment w:val="auto"/>
              <w:rPr>
                <w:rFonts w:asciiTheme="minorHAnsi" w:hAnsiTheme="minorHAnsi" w:cstheme="minorHAnsi"/>
                <w:bCs/>
                <w:sz w:val="16"/>
                <w:szCs w:val="16"/>
                <w:lang w:val="es-CO" w:eastAsia="es-CO"/>
              </w:rPr>
            </w:pPr>
            <w:r>
              <w:rPr>
                <w:rFonts w:asciiTheme="minorHAnsi" w:hAnsiTheme="minorHAnsi" w:cstheme="minorHAnsi"/>
                <w:b/>
                <w:bCs/>
                <w:sz w:val="16"/>
                <w:szCs w:val="16"/>
                <w:lang w:val="es-CO" w:eastAsia="es-CO"/>
              </w:rPr>
              <w:br/>
            </w:r>
            <w:r>
              <w:rPr>
                <w:rFonts w:asciiTheme="minorHAnsi" w:hAnsiTheme="minorHAnsi" w:cstheme="minorHAnsi"/>
                <w:bCs/>
                <w:sz w:val="16"/>
                <w:szCs w:val="16"/>
                <w:lang w:val="es-CO" w:eastAsia="es-CO"/>
              </w:rPr>
              <w:t xml:space="preserve">La OAJ informa que </w:t>
            </w:r>
            <w:r w:rsidRPr="00A17B1B">
              <w:rPr>
                <w:rFonts w:asciiTheme="minorHAnsi" w:hAnsiTheme="minorHAnsi" w:cstheme="minorHAnsi"/>
                <w:bCs/>
                <w:i/>
                <w:sz w:val="16"/>
                <w:szCs w:val="16"/>
                <w:lang w:val="es-CO" w:eastAsia="es-CO"/>
              </w:rPr>
              <w:t>“Se remite carpeta en formato Zip con las evidencias correspondientes, Radicado IDRD No. 20211100011703 Informe Procesos Judiciales / Consolidado Septiembre – Diciembre de 2020 y documento Excel la cual soporta la información relacionada en el memorando mencionado.”</w:t>
            </w:r>
          </w:p>
        </w:tc>
        <w:tc>
          <w:tcPr>
            <w:tcW w:w="3969" w:type="dxa"/>
            <w:tcBorders>
              <w:top w:val="nil"/>
              <w:left w:val="nil"/>
              <w:bottom w:val="single" w:sz="4" w:space="0" w:color="auto"/>
              <w:right w:val="single" w:sz="4" w:space="0" w:color="auto"/>
            </w:tcBorders>
            <w:shd w:val="clear" w:color="auto" w:fill="auto"/>
            <w:noWrap/>
            <w:vAlign w:val="center"/>
            <w:hideMark/>
          </w:tcPr>
          <w:p w14:paraId="22C19AFC" w14:textId="245AEEDD" w:rsidR="00ED72C2" w:rsidRPr="00871E92" w:rsidRDefault="00871E92" w:rsidP="00ED72C2">
            <w:pPr>
              <w:suppressAutoHyphens w:val="0"/>
              <w:autoSpaceDN/>
              <w:jc w:val="left"/>
              <w:textAlignment w:val="auto"/>
              <w:rPr>
                <w:rFonts w:asciiTheme="minorHAnsi" w:hAnsiTheme="minorHAnsi" w:cstheme="minorHAnsi"/>
                <w:sz w:val="16"/>
                <w:szCs w:val="16"/>
                <w:lang w:val="es-CO" w:eastAsia="es-CO"/>
              </w:rPr>
            </w:pPr>
            <w:r w:rsidRPr="00871E92">
              <w:rPr>
                <w:rFonts w:asciiTheme="minorHAnsi" w:hAnsiTheme="minorHAnsi" w:cstheme="minorHAnsi"/>
                <w:sz w:val="16"/>
                <w:szCs w:val="16"/>
                <w:lang w:val="es-CO" w:eastAsia="es-CO"/>
              </w:rPr>
              <w:t>Mediante radicado 20211100011703 del 14-ene-2021, la OAJ remitió a Contabilidad la relación</w:t>
            </w:r>
            <w:r>
              <w:rPr>
                <w:rFonts w:asciiTheme="minorHAnsi" w:hAnsiTheme="minorHAnsi" w:cstheme="minorHAnsi"/>
                <w:sz w:val="16"/>
                <w:szCs w:val="16"/>
                <w:lang w:val="es-CO" w:eastAsia="es-CO"/>
              </w:rPr>
              <w:t xml:space="preserve"> </w:t>
            </w:r>
            <w:r w:rsidRPr="00871E92">
              <w:rPr>
                <w:rFonts w:asciiTheme="minorHAnsi" w:hAnsiTheme="minorHAnsi" w:cstheme="minorHAnsi"/>
                <w:sz w:val="16"/>
                <w:szCs w:val="16"/>
                <w:lang w:val="es-CO" w:eastAsia="es-CO"/>
              </w:rPr>
              <w:t>de los procesos en contra del IDRD y los iniciados por el Instituto, detallando la informac</w:t>
            </w:r>
            <w:r>
              <w:rPr>
                <w:rFonts w:asciiTheme="minorHAnsi" w:hAnsiTheme="minorHAnsi" w:cstheme="minorHAnsi"/>
                <w:sz w:val="16"/>
                <w:szCs w:val="16"/>
                <w:lang w:val="es-CO" w:eastAsia="es-CO"/>
              </w:rPr>
              <w:t>ió</w:t>
            </w:r>
            <w:r w:rsidRPr="00871E92">
              <w:rPr>
                <w:rFonts w:asciiTheme="minorHAnsi" w:hAnsiTheme="minorHAnsi" w:cstheme="minorHAnsi"/>
                <w:sz w:val="16"/>
                <w:szCs w:val="16"/>
                <w:lang w:val="es-CO" w:eastAsia="es-CO"/>
              </w:rPr>
              <w:t>n requerida en la actividad del PSC, dando cumplimiento a la misma.</w:t>
            </w:r>
          </w:p>
        </w:tc>
      </w:tr>
      <w:tr w:rsidR="0030216D" w:rsidRPr="000B0F0A" w14:paraId="2684C0A3" w14:textId="77777777" w:rsidTr="007C4117">
        <w:trPr>
          <w:trHeight w:val="1227"/>
        </w:trPr>
        <w:tc>
          <w:tcPr>
            <w:tcW w:w="317" w:type="dxa"/>
            <w:vMerge w:val="restart"/>
            <w:tcBorders>
              <w:top w:val="nil"/>
              <w:left w:val="single" w:sz="4" w:space="0" w:color="auto"/>
              <w:right w:val="single" w:sz="4" w:space="0" w:color="auto"/>
            </w:tcBorders>
            <w:shd w:val="clear" w:color="auto" w:fill="auto"/>
            <w:vAlign w:val="center"/>
            <w:hideMark/>
          </w:tcPr>
          <w:p w14:paraId="18EBFAEA"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15</w:t>
            </w:r>
          </w:p>
        </w:tc>
        <w:tc>
          <w:tcPr>
            <w:tcW w:w="954" w:type="dxa"/>
            <w:vMerge w:val="restart"/>
            <w:tcBorders>
              <w:top w:val="nil"/>
              <w:left w:val="nil"/>
              <w:right w:val="single" w:sz="4" w:space="0" w:color="auto"/>
            </w:tcBorders>
            <w:shd w:val="clear" w:color="auto" w:fill="auto"/>
            <w:vAlign w:val="center"/>
            <w:hideMark/>
          </w:tcPr>
          <w:p w14:paraId="3005A505" w14:textId="77777777" w:rsidR="0030216D" w:rsidRPr="00905414" w:rsidRDefault="0030216D" w:rsidP="00ED72C2">
            <w:pPr>
              <w:suppressAutoHyphens w:val="0"/>
              <w:autoSpaceDN/>
              <w:jc w:val="center"/>
              <w:textAlignment w:val="auto"/>
              <w:rPr>
                <w:rFonts w:asciiTheme="minorHAnsi" w:hAnsiTheme="minorHAnsi" w:cstheme="minorHAnsi"/>
                <w:i/>
                <w:sz w:val="16"/>
                <w:szCs w:val="16"/>
                <w:lang w:val="es-CO" w:eastAsia="es-CO"/>
              </w:rPr>
            </w:pPr>
            <w:r w:rsidRPr="00905414">
              <w:rPr>
                <w:rFonts w:asciiTheme="minorHAnsi" w:hAnsiTheme="minorHAnsi" w:cstheme="minorHAnsi"/>
                <w:i/>
                <w:sz w:val="16"/>
                <w:szCs w:val="16"/>
                <w:lang w:val="es-CO" w:eastAsia="es-CO"/>
              </w:rPr>
              <w:t>Concesiones</w:t>
            </w:r>
          </w:p>
        </w:tc>
        <w:tc>
          <w:tcPr>
            <w:tcW w:w="3969" w:type="dxa"/>
            <w:vMerge w:val="restart"/>
            <w:tcBorders>
              <w:top w:val="nil"/>
              <w:left w:val="nil"/>
              <w:right w:val="nil"/>
            </w:tcBorders>
            <w:shd w:val="clear" w:color="auto" w:fill="auto"/>
            <w:vAlign w:val="center"/>
            <w:hideMark/>
          </w:tcPr>
          <w:p w14:paraId="63988BA1" w14:textId="77777777" w:rsidR="0030216D" w:rsidRPr="00905414" w:rsidRDefault="0030216D" w:rsidP="00ED72C2">
            <w:pPr>
              <w:suppressAutoHyphens w:val="0"/>
              <w:autoSpaceDN/>
              <w:jc w:val="left"/>
              <w:textAlignment w:val="auto"/>
              <w:rPr>
                <w:rFonts w:asciiTheme="minorHAnsi" w:hAnsiTheme="minorHAnsi" w:cstheme="minorHAnsi"/>
                <w:i/>
                <w:color w:val="000000"/>
                <w:sz w:val="16"/>
                <w:szCs w:val="16"/>
                <w:lang w:val="es-CO" w:eastAsia="es-CO"/>
              </w:rPr>
            </w:pPr>
            <w:r w:rsidRPr="00905414">
              <w:rPr>
                <w:rFonts w:asciiTheme="minorHAnsi" w:hAnsiTheme="minorHAnsi" w:cstheme="minorHAnsi"/>
                <w:i/>
                <w:color w:val="000000"/>
                <w:sz w:val="16"/>
                <w:szCs w:val="16"/>
                <w:lang w:val="es-CO" w:eastAsia="es-CO"/>
              </w:rPr>
              <w:t>1. Reportar a Contabilidad los contratos de concesión que se firmen y adjuntar los documentos soporte del mismo, cuando esto ocurra.</w:t>
            </w:r>
            <w:r w:rsidRPr="00905414">
              <w:rPr>
                <w:rFonts w:asciiTheme="minorHAnsi" w:hAnsiTheme="minorHAnsi" w:cstheme="minorHAnsi"/>
                <w:i/>
                <w:color w:val="000000"/>
                <w:sz w:val="16"/>
                <w:szCs w:val="16"/>
                <w:lang w:val="es-CO" w:eastAsia="es-CO"/>
              </w:rPr>
              <w:br/>
              <w:t>2. Enviar informe a  Contabilidad de los cambios que se presenten en los contratos, así como la actualización del valor del bien inmueble (adiciones y mejoras), cuando esto ocurra.</w:t>
            </w:r>
            <w:r w:rsidRPr="00905414">
              <w:rPr>
                <w:rFonts w:asciiTheme="minorHAnsi" w:hAnsiTheme="minorHAnsi" w:cstheme="minorHAnsi"/>
                <w:i/>
                <w:color w:val="000000"/>
                <w:sz w:val="16"/>
                <w:szCs w:val="16"/>
                <w:lang w:val="es-CO" w:eastAsia="es-CO"/>
              </w:rPr>
              <w:br/>
            </w:r>
            <w:r w:rsidRPr="00905414">
              <w:rPr>
                <w:rFonts w:asciiTheme="minorHAnsi" w:hAnsiTheme="minorHAnsi" w:cstheme="minorHAnsi"/>
                <w:i/>
                <w:color w:val="000000"/>
                <w:sz w:val="16"/>
                <w:szCs w:val="16"/>
                <w:lang w:val="es-CO" w:eastAsia="es-CO"/>
              </w:rPr>
              <w:br/>
            </w:r>
            <w:r w:rsidRPr="00905414">
              <w:rPr>
                <w:rFonts w:asciiTheme="minorHAnsi" w:hAnsiTheme="minorHAnsi" w:cstheme="minorHAnsi"/>
                <w:b/>
                <w:bCs/>
                <w:i/>
                <w:color w:val="000000"/>
                <w:sz w:val="16"/>
                <w:szCs w:val="16"/>
                <w:lang w:val="es-CO" w:eastAsia="es-CO"/>
              </w:rPr>
              <w:t xml:space="preserve"> Informe para revelaciones:   </w:t>
            </w:r>
            <w:r w:rsidRPr="00905414">
              <w:rPr>
                <w:rFonts w:asciiTheme="minorHAnsi" w:hAnsiTheme="minorHAnsi" w:cstheme="minorHAnsi"/>
                <w:i/>
                <w:color w:val="000000"/>
                <w:sz w:val="16"/>
                <w:szCs w:val="16"/>
                <w:lang w:val="es-CO" w:eastAsia="es-CO"/>
              </w:rPr>
              <w:t xml:space="preserve">                                                                                                                                                                                                                        a) una descripción del acuerdo de concesión   </w:t>
            </w:r>
            <w:r w:rsidRPr="00905414">
              <w:rPr>
                <w:rFonts w:asciiTheme="minorHAnsi" w:hAnsiTheme="minorHAnsi" w:cstheme="minorHAnsi"/>
                <w:i/>
                <w:color w:val="000000"/>
                <w:sz w:val="16"/>
                <w:szCs w:val="16"/>
                <w:lang w:val="es-CO" w:eastAsia="es-CO"/>
              </w:rPr>
              <w:br/>
              <w:t xml:space="preserve">b) la naturaleza y alcance de: el derecho a utilizar activos especificados, los aspectos pactados en torno a lo que se espera que el concesionario proporcione en relación con el acuerdo de concesión y los activos reconocidos como activos en concesión.                                                                                                                                                                                                          c) los derechos a recibir activos especificados al final del acuerdo de concesión del servicio.                                                                                                             d) las alternativas de renovación y cese del acuerdo.                                                    </w:t>
            </w:r>
            <w:r w:rsidRPr="00905414">
              <w:rPr>
                <w:rFonts w:asciiTheme="minorHAnsi" w:hAnsiTheme="minorHAnsi" w:cstheme="minorHAnsi"/>
                <w:i/>
                <w:color w:val="000000"/>
                <w:sz w:val="16"/>
                <w:szCs w:val="16"/>
                <w:lang w:val="es-CO" w:eastAsia="es-CO"/>
              </w:rPr>
              <w:br/>
              <w:t>e) cambios en el acuerdo de concesión que se realicen durante el periodo.</w:t>
            </w:r>
          </w:p>
        </w:tc>
        <w:tc>
          <w:tcPr>
            <w:tcW w:w="3544" w:type="dxa"/>
            <w:vMerge w:val="restart"/>
            <w:tcBorders>
              <w:top w:val="nil"/>
              <w:left w:val="single" w:sz="4" w:space="0" w:color="auto"/>
              <w:right w:val="single" w:sz="4" w:space="0" w:color="auto"/>
            </w:tcBorders>
            <w:shd w:val="clear" w:color="auto" w:fill="auto"/>
            <w:vAlign w:val="center"/>
            <w:hideMark/>
          </w:tcPr>
          <w:p w14:paraId="6E317F05" w14:textId="77777777" w:rsidR="0030216D" w:rsidRPr="000B0F0A" w:rsidRDefault="0030216D" w:rsidP="00ED72C2">
            <w:pPr>
              <w:suppressAutoHyphens w:val="0"/>
              <w:autoSpaceDN/>
              <w:textAlignment w:val="auto"/>
              <w:rPr>
                <w:rFonts w:asciiTheme="minorHAnsi" w:hAnsiTheme="minorHAnsi" w:cstheme="minorHAnsi"/>
                <w:color w:val="000000"/>
                <w:sz w:val="16"/>
                <w:szCs w:val="16"/>
                <w:lang w:val="es-CO" w:eastAsia="es-CO"/>
              </w:rPr>
            </w:pPr>
            <w:bookmarkStart w:id="19" w:name="RANGE!E22"/>
            <w:r w:rsidRPr="000B0F0A">
              <w:rPr>
                <w:rFonts w:asciiTheme="minorHAnsi" w:hAnsiTheme="minorHAnsi" w:cstheme="minorHAnsi"/>
                <w:color w:val="000000"/>
                <w:sz w:val="16"/>
                <w:szCs w:val="16"/>
                <w:lang w:val="es-CO" w:eastAsia="es-CO"/>
              </w:rPr>
              <w:t xml:space="preserve">13.2. </w:t>
            </w:r>
            <w:r w:rsidRPr="000B0F0A">
              <w:rPr>
                <w:rFonts w:asciiTheme="minorHAnsi" w:hAnsiTheme="minorHAnsi" w:cstheme="minorHAnsi"/>
                <w:b/>
                <w:bCs/>
                <w:color w:val="000000"/>
                <w:sz w:val="16"/>
                <w:szCs w:val="16"/>
                <w:lang w:val="es-CO" w:eastAsia="es-CO"/>
              </w:rPr>
              <w:t xml:space="preserve">Reconocimiento y medición de activos en concesión: </w:t>
            </w:r>
            <w:r w:rsidRPr="000B0F0A">
              <w:rPr>
                <w:rFonts w:asciiTheme="minorHAnsi" w:hAnsiTheme="minorHAnsi" w:cstheme="minorHAnsi"/>
                <w:i/>
                <w:iCs/>
                <w:color w:val="000000"/>
                <w:sz w:val="16"/>
                <w:szCs w:val="16"/>
                <w:lang w:val="es-CO" w:eastAsia="es-CO"/>
              </w:rPr>
              <w:t>"La entidad concedente reconocerá los activos en concesión, siempre y cuando: a) controle o regule los servicios que debe proporcionar el concesionario con el activo, los destinatarios o el precio de los mismos y b) controle (a través de la propiedad, del derecho de uso o de otros medios) cualquier participación residual significativa en el activo al final del plazo del acuerdo de concesión..."</w:t>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i/>
                <w:iCs/>
                <w:color w:val="000000"/>
                <w:sz w:val="16"/>
                <w:szCs w:val="16"/>
                <w:lang w:val="es-CO" w:eastAsia="es-CO"/>
              </w:rPr>
              <w:br/>
            </w:r>
            <w:r w:rsidRPr="000B0F0A">
              <w:rPr>
                <w:rFonts w:asciiTheme="minorHAnsi" w:hAnsiTheme="minorHAnsi" w:cstheme="minorHAnsi"/>
                <w:b/>
                <w:bCs/>
                <w:i/>
                <w:iCs/>
                <w:color w:val="000000"/>
                <w:sz w:val="16"/>
                <w:szCs w:val="16"/>
                <w:lang w:val="es-CO" w:eastAsia="es-CO"/>
              </w:rPr>
              <w:t>13.3 Reconocimiento y medición de pasivos asociados al acuerdo de concesión:</w:t>
            </w:r>
            <w:r w:rsidRPr="000B0F0A">
              <w:rPr>
                <w:rFonts w:asciiTheme="minorHAnsi" w:hAnsiTheme="minorHAnsi" w:cstheme="minorHAnsi"/>
                <w:i/>
                <w:iCs/>
                <w:color w:val="000000"/>
                <w:sz w:val="16"/>
                <w:szCs w:val="16"/>
                <w:lang w:val="es-CO" w:eastAsia="es-CO"/>
              </w:rPr>
              <w:t xml:space="preserve"> "Cuando la entidad concedente reconozca un activo en concesión, también reconocerá un pasivo por el valor del activo proporcionado por el concesionario o de la mejora o rehabilitación del activo</w:t>
            </w:r>
            <w:r w:rsidRPr="000B0F0A">
              <w:rPr>
                <w:rFonts w:asciiTheme="minorHAnsi" w:hAnsiTheme="minorHAnsi" w:cstheme="minorHAnsi"/>
                <w:i/>
                <w:iCs/>
                <w:color w:val="000000"/>
                <w:sz w:val="16"/>
                <w:szCs w:val="16"/>
                <w:lang w:val="es-CO" w:eastAsia="es-CO"/>
              </w:rPr>
              <w:br/>
              <w:t>existente de la entidad concedente, ajustado por cualquier otra contraprestación (por ejemplo, efectivo) de la concedente al concesionario, o viceversa..."</w:t>
            </w:r>
            <w:bookmarkEnd w:id="19"/>
          </w:p>
        </w:tc>
        <w:tc>
          <w:tcPr>
            <w:tcW w:w="1276" w:type="dxa"/>
            <w:vMerge w:val="restart"/>
            <w:tcBorders>
              <w:top w:val="nil"/>
              <w:left w:val="nil"/>
              <w:right w:val="single" w:sz="4" w:space="0" w:color="auto"/>
            </w:tcBorders>
            <w:shd w:val="clear" w:color="auto" w:fill="auto"/>
            <w:vAlign w:val="center"/>
            <w:hideMark/>
          </w:tcPr>
          <w:p w14:paraId="7BE2D35B" w14:textId="550435E3"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Subdirección y/u</w:t>
            </w:r>
            <w:r w:rsidRPr="000B0F0A">
              <w:rPr>
                <w:rFonts w:asciiTheme="minorHAnsi" w:hAnsiTheme="minorHAnsi" w:cstheme="minorHAnsi"/>
                <w:sz w:val="16"/>
                <w:szCs w:val="16"/>
                <w:lang w:val="es-CO" w:eastAsia="es-CO"/>
              </w:rPr>
              <w:t xml:space="preserve"> Oficina responsable</w:t>
            </w:r>
          </w:p>
        </w:tc>
        <w:tc>
          <w:tcPr>
            <w:tcW w:w="1984" w:type="dxa"/>
            <w:vMerge w:val="restart"/>
            <w:tcBorders>
              <w:top w:val="nil"/>
              <w:left w:val="nil"/>
              <w:right w:val="single" w:sz="4" w:space="0" w:color="auto"/>
            </w:tcBorders>
            <w:shd w:val="clear" w:color="auto" w:fill="auto"/>
            <w:vAlign w:val="center"/>
            <w:hideMark/>
          </w:tcPr>
          <w:p w14:paraId="47D343AB"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Cuando esto ocurra/Anualmente para revelaciones</w:t>
            </w:r>
          </w:p>
        </w:tc>
        <w:tc>
          <w:tcPr>
            <w:tcW w:w="1559" w:type="dxa"/>
            <w:tcBorders>
              <w:top w:val="nil"/>
              <w:left w:val="nil"/>
              <w:bottom w:val="single" w:sz="4" w:space="0" w:color="auto"/>
              <w:right w:val="single" w:sz="4" w:space="0" w:color="auto"/>
            </w:tcBorders>
            <w:shd w:val="clear" w:color="auto" w:fill="auto"/>
            <w:vAlign w:val="center"/>
            <w:hideMark/>
          </w:tcPr>
          <w:p w14:paraId="02F0FB4C" w14:textId="77777777" w:rsidR="0030216D" w:rsidRDefault="0030216D"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STC</w:t>
            </w:r>
          </w:p>
          <w:p w14:paraId="0ED7C978" w14:textId="256699BB"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r w:rsidRPr="00667485">
              <w:rPr>
                <w:rFonts w:asciiTheme="minorHAnsi" w:hAnsiTheme="minorHAnsi" w:cstheme="minorHAnsi"/>
                <w:sz w:val="16"/>
                <w:szCs w:val="16"/>
                <w:lang w:val="es-CO" w:eastAsia="es-CO"/>
              </w:rPr>
              <w:t>20214000124603</w:t>
            </w:r>
          </w:p>
        </w:tc>
        <w:tc>
          <w:tcPr>
            <w:tcW w:w="993" w:type="dxa"/>
            <w:tcBorders>
              <w:top w:val="nil"/>
              <w:left w:val="nil"/>
              <w:bottom w:val="single" w:sz="4" w:space="0" w:color="auto"/>
              <w:right w:val="single" w:sz="4" w:space="0" w:color="auto"/>
            </w:tcBorders>
            <w:shd w:val="clear" w:color="auto" w:fill="auto"/>
            <w:vAlign w:val="center"/>
            <w:hideMark/>
          </w:tcPr>
          <w:p w14:paraId="0758CBFA"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w:t>
            </w:r>
          </w:p>
        </w:tc>
        <w:tc>
          <w:tcPr>
            <w:tcW w:w="4110" w:type="dxa"/>
            <w:tcBorders>
              <w:top w:val="nil"/>
              <w:left w:val="nil"/>
              <w:bottom w:val="single" w:sz="4" w:space="0" w:color="auto"/>
              <w:right w:val="single" w:sz="4" w:space="0" w:color="auto"/>
            </w:tcBorders>
            <w:shd w:val="clear" w:color="auto" w:fill="auto"/>
            <w:noWrap/>
            <w:vAlign w:val="center"/>
            <w:hideMark/>
          </w:tcPr>
          <w:p w14:paraId="7495DEF4" w14:textId="385F0E3D" w:rsidR="0030216D" w:rsidRPr="000B0F0A" w:rsidRDefault="0030216D" w:rsidP="002E7A9D">
            <w:pPr>
              <w:suppressAutoHyphens w:val="0"/>
              <w:autoSpaceDN/>
              <w:textAlignment w:val="auto"/>
              <w:rPr>
                <w:rFonts w:asciiTheme="minorHAnsi" w:hAnsiTheme="minorHAnsi" w:cstheme="minorHAnsi"/>
                <w:b/>
                <w:bCs/>
                <w:sz w:val="16"/>
                <w:szCs w:val="16"/>
                <w:lang w:val="es-CO" w:eastAsia="es-CO"/>
              </w:rPr>
            </w:pPr>
            <w:r>
              <w:rPr>
                <w:rFonts w:asciiTheme="minorHAnsi" w:hAnsiTheme="minorHAnsi" w:cstheme="minorHAnsi"/>
                <w:bCs/>
                <w:sz w:val="16"/>
                <w:szCs w:val="16"/>
                <w:lang w:val="es-CO" w:eastAsia="es-CO"/>
              </w:rPr>
              <w:t>La STC</w:t>
            </w:r>
            <w:r w:rsidRPr="008036C3">
              <w:rPr>
                <w:rFonts w:asciiTheme="minorHAnsi" w:hAnsiTheme="minorHAnsi" w:cstheme="minorHAnsi"/>
                <w:bCs/>
                <w:sz w:val="16"/>
                <w:szCs w:val="16"/>
                <w:lang w:val="es-CO" w:eastAsia="es-CO"/>
              </w:rPr>
              <w:t xml:space="preserve"> no emit</w:t>
            </w:r>
            <w:r>
              <w:rPr>
                <w:rFonts w:asciiTheme="minorHAnsi" w:hAnsiTheme="minorHAnsi" w:cstheme="minorHAnsi"/>
                <w:bCs/>
                <w:sz w:val="16"/>
                <w:szCs w:val="16"/>
                <w:lang w:val="es-CO" w:eastAsia="es-CO"/>
              </w:rPr>
              <w:t xml:space="preserve">ió </w:t>
            </w:r>
            <w:r w:rsidRPr="008036C3">
              <w:rPr>
                <w:rFonts w:asciiTheme="minorHAnsi" w:hAnsiTheme="minorHAnsi" w:cstheme="minorHAnsi"/>
                <w:bCs/>
                <w:sz w:val="16"/>
                <w:szCs w:val="16"/>
                <w:lang w:val="es-CO" w:eastAsia="es-CO"/>
              </w:rPr>
              <w:t>respuesta a la solicitud sobre este tema</w:t>
            </w:r>
            <w:r>
              <w:rPr>
                <w:rFonts w:asciiTheme="minorHAnsi" w:hAnsiTheme="minorHAnsi" w:cstheme="minorHAnsi"/>
                <w:bCs/>
                <w:sz w:val="16"/>
                <w:szCs w:val="16"/>
                <w:lang w:val="es-CO" w:eastAsia="es-CO"/>
              </w:rPr>
              <w:t xml:space="preserve"> en particular</w:t>
            </w:r>
            <w:r w:rsidRPr="008036C3">
              <w:rPr>
                <w:rFonts w:asciiTheme="minorHAnsi" w:hAnsiTheme="minorHAnsi" w:cstheme="minorHAnsi"/>
                <w:bCs/>
                <w:sz w:val="16"/>
                <w:szCs w:val="16"/>
                <w:lang w:val="es-CO" w:eastAsia="es-CO"/>
              </w:rPr>
              <w:t xml:space="preserve">, ante el requerimiento </w:t>
            </w:r>
            <w:r w:rsidRPr="00B84271">
              <w:rPr>
                <w:rFonts w:asciiTheme="minorHAnsi" w:hAnsiTheme="minorHAnsi" w:cstheme="minorHAnsi"/>
                <w:bCs/>
                <w:sz w:val="16"/>
                <w:szCs w:val="16"/>
                <w:lang w:val="es-CO" w:eastAsia="es-CO"/>
              </w:rPr>
              <w:t>20211500110583</w:t>
            </w:r>
            <w:r w:rsidR="00905414">
              <w:rPr>
                <w:rFonts w:asciiTheme="minorHAnsi" w:hAnsiTheme="minorHAnsi" w:cstheme="minorHAnsi"/>
                <w:bCs/>
                <w:sz w:val="16"/>
                <w:szCs w:val="16"/>
                <w:lang w:val="es-CO" w:eastAsia="es-CO"/>
              </w:rPr>
              <w:t xml:space="preserve"> del 17-abril-</w:t>
            </w:r>
            <w:r>
              <w:rPr>
                <w:rFonts w:asciiTheme="minorHAnsi" w:hAnsiTheme="minorHAnsi" w:cstheme="minorHAnsi"/>
                <w:bCs/>
                <w:sz w:val="16"/>
                <w:szCs w:val="16"/>
                <w:lang w:val="es-CO" w:eastAsia="es-CO"/>
              </w:rPr>
              <w:t>2021</w:t>
            </w:r>
            <w:r w:rsidRPr="008036C3">
              <w:rPr>
                <w:rFonts w:asciiTheme="minorHAnsi" w:hAnsiTheme="minorHAnsi" w:cstheme="minorHAnsi"/>
                <w:bCs/>
                <w:sz w:val="16"/>
                <w:szCs w:val="16"/>
                <w:lang w:val="es-CO" w:eastAsia="es-CO"/>
              </w:rPr>
              <w:t>.</w:t>
            </w:r>
          </w:p>
        </w:tc>
        <w:tc>
          <w:tcPr>
            <w:tcW w:w="3969" w:type="dxa"/>
            <w:vMerge w:val="restart"/>
            <w:tcBorders>
              <w:top w:val="nil"/>
              <w:left w:val="nil"/>
              <w:right w:val="single" w:sz="4" w:space="0" w:color="auto"/>
            </w:tcBorders>
            <w:shd w:val="clear" w:color="auto" w:fill="auto"/>
            <w:noWrap/>
            <w:vAlign w:val="center"/>
            <w:hideMark/>
          </w:tcPr>
          <w:p w14:paraId="09C04C04" w14:textId="5BD17E79" w:rsidR="0030216D" w:rsidRDefault="0030216D" w:rsidP="00987370">
            <w:pPr>
              <w:suppressAutoHyphens w:val="0"/>
              <w:autoSpaceDN/>
              <w:textAlignment w:val="auto"/>
              <w:rPr>
                <w:rFonts w:asciiTheme="minorHAnsi" w:hAnsiTheme="minorHAnsi" w:cstheme="minorHAnsi"/>
                <w:sz w:val="16"/>
                <w:szCs w:val="16"/>
                <w:lang w:val="es-CO" w:eastAsia="es-CO"/>
              </w:rPr>
            </w:pPr>
            <w:r w:rsidRPr="00044957">
              <w:rPr>
                <w:rFonts w:asciiTheme="minorHAnsi" w:hAnsiTheme="minorHAnsi" w:cstheme="minorHAnsi"/>
                <w:sz w:val="16"/>
                <w:szCs w:val="16"/>
                <w:lang w:val="es-CO" w:eastAsia="es-CO"/>
              </w:rPr>
              <w:t xml:space="preserve">En vista de que, </w:t>
            </w:r>
            <w:r>
              <w:rPr>
                <w:rFonts w:asciiTheme="minorHAnsi" w:hAnsiTheme="minorHAnsi" w:cstheme="minorHAnsi"/>
                <w:sz w:val="16"/>
                <w:szCs w:val="16"/>
                <w:lang w:val="es-CO" w:eastAsia="es-CO"/>
              </w:rPr>
              <w:t xml:space="preserve">entre </w:t>
            </w:r>
            <w:r w:rsidRPr="00044957">
              <w:rPr>
                <w:rFonts w:asciiTheme="minorHAnsi" w:hAnsiTheme="minorHAnsi" w:cstheme="minorHAnsi"/>
                <w:sz w:val="16"/>
                <w:szCs w:val="16"/>
                <w:lang w:val="es-CO" w:eastAsia="es-CO"/>
              </w:rPr>
              <w:t>noviembre de 2020</w:t>
            </w:r>
            <w:r>
              <w:rPr>
                <w:rFonts w:asciiTheme="minorHAnsi" w:hAnsiTheme="minorHAnsi" w:cstheme="minorHAnsi"/>
                <w:sz w:val="16"/>
                <w:szCs w:val="16"/>
                <w:lang w:val="es-CO" w:eastAsia="es-CO"/>
              </w:rPr>
              <w:t xml:space="preserve"> y febrero de 2021 (período solicitado para revisión por parte de esta Oficina)</w:t>
            </w:r>
            <w:r w:rsidRPr="00044957">
              <w:rPr>
                <w:rFonts w:asciiTheme="minorHAnsi" w:hAnsiTheme="minorHAnsi" w:cstheme="minorHAnsi"/>
                <w:sz w:val="16"/>
                <w:szCs w:val="16"/>
                <w:lang w:val="es-CO" w:eastAsia="es-CO"/>
              </w:rPr>
              <w:t>, no se presentaron casos de firma de concesiones ni modificaciones a las mismas, no se toma la presente actividad para el cálculo de cumplimiento del P</w:t>
            </w:r>
            <w:r w:rsidR="002754D2">
              <w:rPr>
                <w:rFonts w:asciiTheme="minorHAnsi" w:hAnsiTheme="minorHAnsi" w:cstheme="minorHAnsi"/>
                <w:sz w:val="16"/>
                <w:szCs w:val="16"/>
                <w:lang w:val="es-CO" w:eastAsia="es-CO"/>
              </w:rPr>
              <w:t>SC</w:t>
            </w:r>
            <w:r w:rsidRPr="00044957">
              <w:rPr>
                <w:rFonts w:asciiTheme="minorHAnsi" w:hAnsiTheme="minorHAnsi" w:cstheme="minorHAnsi"/>
                <w:sz w:val="16"/>
                <w:szCs w:val="16"/>
                <w:lang w:val="es-CO" w:eastAsia="es-CO"/>
              </w:rPr>
              <w:t>.</w:t>
            </w:r>
          </w:p>
          <w:p w14:paraId="3EC068FA" w14:textId="77777777" w:rsidR="0030216D" w:rsidRDefault="0030216D" w:rsidP="00987370">
            <w:pPr>
              <w:suppressAutoHyphens w:val="0"/>
              <w:autoSpaceDN/>
              <w:textAlignment w:val="auto"/>
              <w:rPr>
                <w:rFonts w:asciiTheme="minorHAnsi" w:hAnsiTheme="minorHAnsi" w:cstheme="minorHAnsi"/>
                <w:sz w:val="16"/>
                <w:szCs w:val="16"/>
                <w:lang w:val="es-CO" w:eastAsia="es-CO"/>
              </w:rPr>
            </w:pPr>
          </w:p>
          <w:p w14:paraId="34972C21" w14:textId="768802C7" w:rsidR="0030216D" w:rsidRPr="00044957" w:rsidRDefault="0030216D" w:rsidP="00987370">
            <w:pPr>
              <w:suppressAutoHyphens w:val="0"/>
              <w:autoSpaceDN/>
              <w:textAlignment w:val="auto"/>
              <w:rPr>
                <w:rFonts w:asciiTheme="minorHAnsi" w:hAnsiTheme="minorHAnsi" w:cstheme="minorHAnsi"/>
                <w:sz w:val="16"/>
                <w:szCs w:val="16"/>
                <w:lang w:val="es-CO" w:eastAsia="es-CO"/>
              </w:rPr>
            </w:pPr>
            <w:r w:rsidRPr="002E7A9D">
              <w:rPr>
                <w:rFonts w:asciiTheme="minorHAnsi" w:hAnsiTheme="minorHAnsi" w:cstheme="minorHAnsi"/>
                <w:bCs/>
                <w:sz w:val="16"/>
                <w:szCs w:val="16"/>
                <w:lang w:val="es-CO" w:eastAsia="es-CO"/>
              </w:rPr>
              <w:t>La STRD no dio respuesta al requerimiento de información presentado por la Oficina de Control Interno con el memorando 20211500110583 del 17-mar-2021 ni a la reiteración de solicitud No. 20211500145353 del 16-abr-2021</w:t>
            </w:r>
            <w:r w:rsidRPr="004F047E">
              <w:rPr>
                <w:rFonts w:asciiTheme="minorHAnsi" w:hAnsiTheme="minorHAnsi" w:cstheme="minorHAnsi"/>
                <w:bCs/>
                <w:color w:val="FF0000"/>
                <w:sz w:val="16"/>
                <w:szCs w:val="16"/>
                <w:lang w:val="es-CO" w:eastAsia="es-CO"/>
              </w:rPr>
              <w:t>.</w:t>
            </w:r>
          </w:p>
        </w:tc>
      </w:tr>
      <w:tr w:rsidR="0030216D" w:rsidRPr="000B0F0A" w14:paraId="2809C8D2" w14:textId="77777777" w:rsidTr="00167E9F">
        <w:trPr>
          <w:trHeight w:val="1549"/>
        </w:trPr>
        <w:tc>
          <w:tcPr>
            <w:tcW w:w="317" w:type="dxa"/>
            <w:vMerge/>
            <w:tcBorders>
              <w:left w:val="single" w:sz="4" w:space="0" w:color="auto"/>
              <w:right w:val="single" w:sz="4" w:space="0" w:color="auto"/>
            </w:tcBorders>
            <w:shd w:val="clear" w:color="auto" w:fill="auto"/>
            <w:vAlign w:val="center"/>
          </w:tcPr>
          <w:p w14:paraId="6F833B73"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right w:val="single" w:sz="4" w:space="0" w:color="auto"/>
            </w:tcBorders>
            <w:shd w:val="clear" w:color="auto" w:fill="auto"/>
            <w:vAlign w:val="center"/>
          </w:tcPr>
          <w:p w14:paraId="188C91BB"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right w:val="nil"/>
            </w:tcBorders>
            <w:shd w:val="clear" w:color="auto" w:fill="auto"/>
            <w:vAlign w:val="center"/>
          </w:tcPr>
          <w:p w14:paraId="63BF7C96" w14:textId="77777777" w:rsidR="0030216D" w:rsidRPr="000B0F0A" w:rsidRDefault="0030216D" w:rsidP="00ED72C2">
            <w:pPr>
              <w:suppressAutoHyphens w:val="0"/>
              <w:autoSpaceDN/>
              <w:jc w:val="left"/>
              <w:textAlignment w:val="auto"/>
              <w:rPr>
                <w:rFonts w:asciiTheme="minorHAnsi" w:hAnsiTheme="minorHAnsi" w:cstheme="minorHAnsi"/>
                <w:color w:val="000000"/>
                <w:sz w:val="16"/>
                <w:szCs w:val="16"/>
                <w:lang w:val="es-CO" w:eastAsia="es-CO"/>
              </w:rPr>
            </w:pPr>
          </w:p>
        </w:tc>
        <w:tc>
          <w:tcPr>
            <w:tcW w:w="3544" w:type="dxa"/>
            <w:vMerge/>
            <w:tcBorders>
              <w:left w:val="single" w:sz="4" w:space="0" w:color="auto"/>
              <w:right w:val="single" w:sz="4" w:space="0" w:color="auto"/>
            </w:tcBorders>
            <w:shd w:val="clear" w:color="auto" w:fill="auto"/>
            <w:vAlign w:val="center"/>
          </w:tcPr>
          <w:p w14:paraId="441B7589" w14:textId="77777777" w:rsidR="0030216D" w:rsidRPr="000B0F0A" w:rsidRDefault="0030216D" w:rsidP="00ED72C2">
            <w:pPr>
              <w:suppressAutoHyphens w:val="0"/>
              <w:autoSpaceDN/>
              <w:textAlignment w:val="auto"/>
              <w:rPr>
                <w:rFonts w:asciiTheme="minorHAnsi" w:hAnsiTheme="minorHAnsi" w:cstheme="minorHAnsi"/>
                <w:color w:val="000000"/>
                <w:sz w:val="16"/>
                <w:szCs w:val="16"/>
                <w:lang w:val="es-CO" w:eastAsia="es-CO"/>
              </w:rPr>
            </w:pPr>
          </w:p>
        </w:tc>
        <w:tc>
          <w:tcPr>
            <w:tcW w:w="1276" w:type="dxa"/>
            <w:vMerge/>
            <w:tcBorders>
              <w:left w:val="nil"/>
              <w:right w:val="single" w:sz="4" w:space="0" w:color="auto"/>
            </w:tcBorders>
            <w:shd w:val="clear" w:color="auto" w:fill="auto"/>
            <w:vAlign w:val="center"/>
          </w:tcPr>
          <w:p w14:paraId="6C78E9F3" w14:textId="77777777" w:rsidR="0030216D"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1984" w:type="dxa"/>
            <w:vMerge/>
            <w:tcBorders>
              <w:left w:val="nil"/>
              <w:right w:val="single" w:sz="4" w:space="0" w:color="auto"/>
            </w:tcBorders>
            <w:shd w:val="clear" w:color="auto" w:fill="auto"/>
            <w:vAlign w:val="center"/>
          </w:tcPr>
          <w:p w14:paraId="75B3FFAB"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CE09716" w14:textId="77777777" w:rsidR="0030216D" w:rsidRDefault="0030216D" w:rsidP="006B487D">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STP</w:t>
            </w:r>
          </w:p>
          <w:p w14:paraId="15642EA5" w14:textId="4F111C08" w:rsidR="0030216D" w:rsidRPr="000B0F0A" w:rsidRDefault="0030216D" w:rsidP="006B487D">
            <w:pPr>
              <w:jc w:val="center"/>
              <w:rPr>
                <w:rFonts w:asciiTheme="minorHAnsi" w:hAnsiTheme="minorHAnsi" w:cstheme="minorHAnsi"/>
                <w:sz w:val="16"/>
                <w:szCs w:val="16"/>
                <w:lang w:val="es-CO" w:eastAsia="es-CO"/>
              </w:rPr>
            </w:pPr>
            <w:r w:rsidRPr="00A64017">
              <w:rPr>
                <w:rFonts w:asciiTheme="minorHAnsi" w:hAnsiTheme="minorHAnsi" w:cstheme="minorHAnsi"/>
                <w:sz w:val="16"/>
                <w:szCs w:val="16"/>
                <w:lang w:val="es-CO" w:eastAsia="es-CO"/>
              </w:rPr>
              <w:t>20216200126483</w:t>
            </w:r>
          </w:p>
        </w:tc>
        <w:tc>
          <w:tcPr>
            <w:tcW w:w="993" w:type="dxa"/>
            <w:tcBorders>
              <w:top w:val="single" w:sz="4" w:space="0" w:color="auto"/>
              <w:left w:val="nil"/>
              <w:bottom w:val="single" w:sz="4" w:space="0" w:color="auto"/>
              <w:right w:val="single" w:sz="4" w:space="0" w:color="auto"/>
            </w:tcBorders>
            <w:shd w:val="clear" w:color="auto" w:fill="auto"/>
            <w:vAlign w:val="center"/>
          </w:tcPr>
          <w:p w14:paraId="3F5E3C98" w14:textId="77777777" w:rsidR="0030216D" w:rsidRPr="000B0F0A" w:rsidRDefault="0030216D" w:rsidP="00ED72C2">
            <w:pPr>
              <w:jc w:val="center"/>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1D476618" w14:textId="7C2EBC8E" w:rsidR="0030216D" w:rsidRPr="006B487D" w:rsidRDefault="0030216D" w:rsidP="006B487D">
            <w:pPr>
              <w:rPr>
                <w:rFonts w:asciiTheme="minorHAnsi" w:hAnsiTheme="minorHAnsi" w:cstheme="minorHAnsi"/>
                <w:bCs/>
                <w:i/>
                <w:sz w:val="16"/>
                <w:szCs w:val="16"/>
                <w:lang w:val="es-CO" w:eastAsia="es-CO"/>
              </w:rPr>
            </w:pPr>
            <w:r w:rsidRPr="006B487D">
              <w:rPr>
                <w:rFonts w:asciiTheme="minorHAnsi" w:hAnsiTheme="minorHAnsi" w:cstheme="minorHAnsi"/>
                <w:bCs/>
                <w:sz w:val="16"/>
                <w:szCs w:val="16"/>
                <w:lang w:val="es-CO" w:eastAsia="es-CO"/>
              </w:rPr>
              <w:t>La STP</w:t>
            </w:r>
            <w:r>
              <w:rPr>
                <w:rFonts w:asciiTheme="minorHAnsi" w:hAnsiTheme="minorHAnsi" w:cstheme="minorHAnsi"/>
                <w:b/>
                <w:bCs/>
                <w:sz w:val="16"/>
                <w:szCs w:val="16"/>
                <w:lang w:val="es-CO" w:eastAsia="es-CO"/>
              </w:rPr>
              <w:t xml:space="preserve"> </w:t>
            </w:r>
            <w:r>
              <w:rPr>
                <w:rFonts w:asciiTheme="minorHAnsi" w:hAnsiTheme="minorHAnsi" w:cstheme="minorHAnsi"/>
                <w:bCs/>
                <w:sz w:val="16"/>
                <w:szCs w:val="16"/>
                <w:lang w:val="es-CO" w:eastAsia="es-CO"/>
              </w:rPr>
              <w:t xml:space="preserve">informa que </w:t>
            </w:r>
            <w:r w:rsidRPr="006B487D">
              <w:rPr>
                <w:rFonts w:asciiTheme="minorHAnsi" w:hAnsiTheme="minorHAnsi" w:cstheme="minorHAnsi"/>
                <w:bCs/>
                <w:i/>
                <w:sz w:val="16"/>
                <w:szCs w:val="16"/>
                <w:lang w:val="es-CO" w:eastAsia="es-CO"/>
              </w:rPr>
              <w:t>“En el periodo de noviembre de 2020 y febrero de 2021, no se han realizado modificaciones</w:t>
            </w:r>
            <w:r>
              <w:rPr>
                <w:rFonts w:asciiTheme="minorHAnsi" w:hAnsiTheme="minorHAnsi" w:cstheme="minorHAnsi"/>
                <w:bCs/>
                <w:i/>
                <w:sz w:val="16"/>
                <w:szCs w:val="16"/>
                <w:lang w:val="es-CO" w:eastAsia="es-CO"/>
              </w:rPr>
              <w:t xml:space="preserve"> </w:t>
            </w:r>
            <w:r w:rsidRPr="006B487D">
              <w:rPr>
                <w:rFonts w:asciiTheme="minorHAnsi" w:hAnsiTheme="minorHAnsi" w:cstheme="minorHAnsi"/>
                <w:bCs/>
                <w:i/>
                <w:sz w:val="16"/>
                <w:szCs w:val="16"/>
                <w:lang w:val="es-CO" w:eastAsia="es-CO"/>
              </w:rPr>
              <w:t>a los contratos de concesión en ejecución, ni actualiza</w:t>
            </w:r>
            <w:r>
              <w:rPr>
                <w:rFonts w:asciiTheme="minorHAnsi" w:hAnsiTheme="minorHAnsi" w:cstheme="minorHAnsi"/>
                <w:bCs/>
                <w:i/>
                <w:sz w:val="16"/>
                <w:szCs w:val="16"/>
                <w:lang w:val="es-CO" w:eastAsia="es-CO"/>
              </w:rPr>
              <w:t xml:space="preserve">ciones para reportar al área de </w:t>
            </w:r>
            <w:r w:rsidRPr="006B487D">
              <w:rPr>
                <w:rFonts w:asciiTheme="minorHAnsi" w:hAnsiTheme="minorHAnsi" w:cstheme="minorHAnsi"/>
                <w:bCs/>
                <w:i/>
                <w:sz w:val="16"/>
                <w:szCs w:val="16"/>
                <w:lang w:val="es-CO" w:eastAsia="es-CO"/>
              </w:rPr>
              <w:t>contabilidad.”</w:t>
            </w:r>
          </w:p>
        </w:tc>
        <w:tc>
          <w:tcPr>
            <w:tcW w:w="3969" w:type="dxa"/>
            <w:vMerge/>
            <w:tcBorders>
              <w:left w:val="nil"/>
              <w:right w:val="single" w:sz="4" w:space="0" w:color="auto"/>
            </w:tcBorders>
            <w:shd w:val="clear" w:color="auto" w:fill="auto"/>
            <w:noWrap/>
            <w:vAlign w:val="center"/>
          </w:tcPr>
          <w:p w14:paraId="57245626" w14:textId="77777777" w:rsidR="0030216D" w:rsidRPr="000B0F0A" w:rsidRDefault="0030216D" w:rsidP="00ED72C2">
            <w:pPr>
              <w:jc w:val="left"/>
              <w:rPr>
                <w:rFonts w:asciiTheme="minorHAnsi" w:hAnsiTheme="minorHAnsi" w:cstheme="minorHAnsi"/>
                <w:b/>
                <w:bCs/>
                <w:sz w:val="16"/>
                <w:szCs w:val="16"/>
                <w:lang w:val="es-CO" w:eastAsia="es-CO"/>
              </w:rPr>
            </w:pPr>
          </w:p>
        </w:tc>
      </w:tr>
      <w:tr w:rsidR="0030216D" w:rsidRPr="000B0F0A" w14:paraId="1098FAE7" w14:textId="77777777" w:rsidTr="00167E9F">
        <w:trPr>
          <w:trHeight w:val="1132"/>
        </w:trPr>
        <w:tc>
          <w:tcPr>
            <w:tcW w:w="317" w:type="dxa"/>
            <w:vMerge/>
            <w:tcBorders>
              <w:left w:val="single" w:sz="4" w:space="0" w:color="auto"/>
              <w:right w:val="single" w:sz="4" w:space="0" w:color="auto"/>
            </w:tcBorders>
            <w:shd w:val="clear" w:color="auto" w:fill="auto"/>
            <w:vAlign w:val="center"/>
          </w:tcPr>
          <w:p w14:paraId="5A0B89F4"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right w:val="single" w:sz="4" w:space="0" w:color="auto"/>
            </w:tcBorders>
            <w:shd w:val="clear" w:color="auto" w:fill="auto"/>
            <w:vAlign w:val="center"/>
          </w:tcPr>
          <w:p w14:paraId="07B82D76"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right w:val="nil"/>
            </w:tcBorders>
            <w:shd w:val="clear" w:color="auto" w:fill="auto"/>
            <w:vAlign w:val="center"/>
          </w:tcPr>
          <w:p w14:paraId="3FB4B6D9" w14:textId="77777777" w:rsidR="0030216D" w:rsidRPr="000B0F0A" w:rsidRDefault="0030216D" w:rsidP="00ED72C2">
            <w:pPr>
              <w:suppressAutoHyphens w:val="0"/>
              <w:autoSpaceDN/>
              <w:jc w:val="left"/>
              <w:textAlignment w:val="auto"/>
              <w:rPr>
                <w:rFonts w:asciiTheme="minorHAnsi" w:hAnsiTheme="minorHAnsi" w:cstheme="minorHAnsi"/>
                <w:color w:val="000000"/>
                <w:sz w:val="16"/>
                <w:szCs w:val="16"/>
                <w:lang w:val="es-CO" w:eastAsia="es-CO"/>
              </w:rPr>
            </w:pPr>
          </w:p>
        </w:tc>
        <w:tc>
          <w:tcPr>
            <w:tcW w:w="3544" w:type="dxa"/>
            <w:vMerge/>
            <w:tcBorders>
              <w:left w:val="single" w:sz="4" w:space="0" w:color="auto"/>
              <w:right w:val="single" w:sz="4" w:space="0" w:color="auto"/>
            </w:tcBorders>
            <w:shd w:val="clear" w:color="auto" w:fill="auto"/>
            <w:vAlign w:val="center"/>
          </w:tcPr>
          <w:p w14:paraId="12D77867" w14:textId="77777777" w:rsidR="0030216D" w:rsidRPr="000B0F0A" w:rsidRDefault="0030216D" w:rsidP="00ED72C2">
            <w:pPr>
              <w:suppressAutoHyphens w:val="0"/>
              <w:autoSpaceDN/>
              <w:textAlignment w:val="auto"/>
              <w:rPr>
                <w:rFonts w:asciiTheme="minorHAnsi" w:hAnsiTheme="minorHAnsi" w:cstheme="minorHAnsi"/>
                <w:color w:val="000000"/>
                <w:sz w:val="16"/>
                <w:szCs w:val="16"/>
                <w:lang w:val="es-CO" w:eastAsia="es-CO"/>
              </w:rPr>
            </w:pPr>
          </w:p>
        </w:tc>
        <w:tc>
          <w:tcPr>
            <w:tcW w:w="1276" w:type="dxa"/>
            <w:vMerge/>
            <w:tcBorders>
              <w:left w:val="nil"/>
              <w:right w:val="single" w:sz="4" w:space="0" w:color="auto"/>
            </w:tcBorders>
            <w:shd w:val="clear" w:color="auto" w:fill="auto"/>
            <w:vAlign w:val="center"/>
          </w:tcPr>
          <w:p w14:paraId="6F32CB86" w14:textId="77777777" w:rsidR="0030216D"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1984" w:type="dxa"/>
            <w:vMerge/>
            <w:tcBorders>
              <w:left w:val="nil"/>
              <w:right w:val="single" w:sz="4" w:space="0" w:color="auto"/>
            </w:tcBorders>
            <w:shd w:val="clear" w:color="auto" w:fill="auto"/>
            <w:vAlign w:val="center"/>
          </w:tcPr>
          <w:p w14:paraId="0AB6D828"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1559" w:type="dxa"/>
            <w:vMerge w:val="restart"/>
            <w:tcBorders>
              <w:top w:val="single" w:sz="4" w:space="0" w:color="auto"/>
              <w:left w:val="nil"/>
              <w:right w:val="single" w:sz="4" w:space="0" w:color="auto"/>
            </w:tcBorders>
            <w:shd w:val="clear" w:color="auto" w:fill="auto"/>
            <w:vAlign w:val="center"/>
          </w:tcPr>
          <w:p w14:paraId="3B7DA59A" w14:textId="77777777" w:rsidR="0030216D" w:rsidRPr="002E7A9D" w:rsidRDefault="0030216D" w:rsidP="00ED72C2">
            <w:pPr>
              <w:suppressAutoHyphens w:val="0"/>
              <w:autoSpaceDN/>
              <w:jc w:val="center"/>
              <w:textAlignment w:val="auto"/>
              <w:rPr>
                <w:rFonts w:asciiTheme="minorHAnsi" w:hAnsiTheme="minorHAnsi" w:cstheme="minorHAnsi"/>
                <w:sz w:val="16"/>
                <w:szCs w:val="16"/>
                <w:lang w:val="es-CO" w:eastAsia="es-CO"/>
              </w:rPr>
            </w:pPr>
            <w:r w:rsidRPr="002E7A9D">
              <w:rPr>
                <w:rFonts w:asciiTheme="minorHAnsi" w:hAnsiTheme="minorHAnsi" w:cstheme="minorHAnsi"/>
                <w:sz w:val="16"/>
                <w:szCs w:val="16"/>
                <w:lang w:val="es-CO" w:eastAsia="es-CO"/>
              </w:rPr>
              <w:t>STRD</w:t>
            </w:r>
          </w:p>
          <w:p w14:paraId="238F2F67" w14:textId="4A6BA99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Sin respuesta</w:t>
            </w:r>
          </w:p>
        </w:tc>
        <w:tc>
          <w:tcPr>
            <w:tcW w:w="993" w:type="dxa"/>
            <w:vMerge w:val="restart"/>
            <w:tcBorders>
              <w:top w:val="single" w:sz="4" w:space="0" w:color="auto"/>
              <w:left w:val="nil"/>
              <w:right w:val="single" w:sz="4" w:space="0" w:color="auto"/>
            </w:tcBorders>
            <w:shd w:val="clear" w:color="auto" w:fill="auto"/>
            <w:vAlign w:val="center"/>
          </w:tcPr>
          <w:p w14:paraId="471A5716"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FFFFFF" w:themeColor="background1"/>
              <w:right w:val="single" w:sz="4" w:space="0" w:color="auto"/>
            </w:tcBorders>
            <w:shd w:val="clear" w:color="auto" w:fill="auto"/>
            <w:noWrap/>
            <w:vAlign w:val="center"/>
          </w:tcPr>
          <w:p w14:paraId="588BCA92" w14:textId="09BC8EC3" w:rsidR="0030216D" w:rsidRPr="000B0F0A" w:rsidRDefault="0030216D" w:rsidP="00ED72C2">
            <w:pPr>
              <w:suppressAutoHyphens w:val="0"/>
              <w:autoSpaceDN/>
              <w:jc w:val="left"/>
              <w:textAlignment w:val="auto"/>
              <w:rPr>
                <w:rFonts w:asciiTheme="minorHAnsi" w:hAnsiTheme="minorHAnsi" w:cstheme="minorHAnsi"/>
                <w:b/>
                <w:bCs/>
                <w:sz w:val="16"/>
                <w:szCs w:val="16"/>
                <w:lang w:val="es-CO" w:eastAsia="es-CO"/>
              </w:rPr>
            </w:pPr>
          </w:p>
        </w:tc>
        <w:tc>
          <w:tcPr>
            <w:tcW w:w="3969" w:type="dxa"/>
            <w:vMerge/>
            <w:tcBorders>
              <w:left w:val="nil"/>
              <w:right w:val="single" w:sz="4" w:space="0" w:color="auto"/>
            </w:tcBorders>
            <w:shd w:val="clear" w:color="auto" w:fill="auto"/>
            <w:noWrap/>
            <w:vAlign w:val="center"/>
          </w:tcPr>
          <w:p w14:paraId="05E72C3E" w14:textId="77777777" w:rsidR="0030216D" w:rsidRPr="000B0F0A" w:rsidRDefault="0030216D" w:rsidP="00ED72C2">
            <w:pPr>
              <w:suppressAutoHyphens w:val="0"/>
              <w:autoSpaceDN/>
              <w:jc w:val="left"/>
              <w:textAlignment w:val="auto"/>
              <w:rPr>
                <w:rFonts w:asciiTheme="minorHAnsi" w:hAnsiTheme="minorHAnsi" w:cstheme="minorHAnsi"/>
                <w:b/>
                <w:bCs/>
                <w:sz w:val="16"/>
                <w:szCs w:val="16"/>
                <w:lang w:val="es-CO" w:eastAsia="es-CO"/>
              </w:rPr>
            </w:pPr>
          </w:p>
        </w:tc>
      </w:tr>
      <w:tr w:rsidR="0030216D" w:rsidRPr="000B0F0A" w14:paraId="40F34FE2" w14:textId="77777777" w:rsidTr="00167E9F">
        <w:trPr>
          <w:trHeight w:val="376"/>
        </w:trPr>
        <w:tc>
          <w:tcPr>
            <w:tcW w:w="317" w:type="dxa"/>
            <w:vMerge/>
            <w:tcBorders>
              <w:left w:val="single" w:sz="4" w:space="0" w:color="auto"/>
              <w:bottom w:val="single" w:sz="4" w:space="0" w:color="auto"/>
              <w:right w:val="single" w:sz="4" w:space="0" w:color="auto"/>
            </w:tcBorders>
            <w:shd w:val="clear" w:color="auto" w:fill="auto"/>
            <w:vAlign w:val="center"/>
          </w:tcPr>
          <w:p w14:paraId="741A2303"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bottom w:val="single" w:sz="4" w:space="0" w:color="auto"/>
              <w:right w:val="single" w:sz="4" w:space="0" w:color="auto"/>
            </w:tcBorders>
            <w:shd w:val="clear" w:color="auto" w:fill="auto"/>
            <w:vAlign w:val="center"/>
          </w:tcPr>
          <w:p w14:paraId="29BE18B0"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bottom w:val="single" w:sz="4" w:space="0" w:color="auto"/>
              <w:right w:val="nil"/>
            </w:tcBorders>
            <w:shd w:val="clear" w:color="auto" w:fill="auto"/>
            <w:vAlign w:val="center"/>
          </w:tcPr>
          <w:p w14:paraId="7CC5CF4E" w14:textId="77777777" w:rsidR="0030216D" w:rsidRPr="000B0F0A" w:rsidRDefault="0030216D" w:rsidP="00ED72C2">
            <w:pPr>
              <w:suppressAutoHyphens w:val="0"/>
              <w:autoSpaceDN/>
              <w:jc w:val="left"/>
              <w:textAlignment w:val="auto"/>
              <w:rPr>
                <w:rFonts w:asciiTheme="minorHAnsi" w:hAnsiTheme="minorHAnsi" w:cstheme="minorHAnsi"/>
                <w:color w:val="000000"/>
                <w:sz w:val="16"/>
                <w:szCs w:val="16"/>
                <w:lang w:val="es-CO" w:eastAsia="es-CO"/>
              </w:rPr>
            </w:pPr>
          </w:p>
        </w:tc>
        <w:tc>
          <w:tcPr>
            <w:tcW w:w="3544" w:type="dxa"/>
            <w:vMerge/>
            <w:tcBorders>
              <w:left w:val="single" w:sz="4" w:space="0" w:color="auto"/>
              <w:bottom w:val="single" w:sz="4" w:space="0" w:color="auto"/>
              <w:right w:val="single" w:sz="4" w:space="0" w:color="auto"/>
            </w:tcBorders>
            <w:shd w:val="clear" w:color="auto" w:fill="auto"/>
            <w:vAlign w:val="center"/>
          </w:tcPr>
          <w:p w14:paraId="4BAEEC74" w14:textId="77777777" w:rsidR="0030216D" w:rsidRPr="000B0F0A" w:rsidRDefault="0030216D" w:rsidP="00ED72C2">
            <w:pPr>
              <w:suppressAutoHyphens w:val="0"/>
              <w:autoSpaceDN/>
              <w:textAlignment w:val="auto"/>
              <w:rPr>
                <w:rFonts w:asciiTheme="minorHAnsi" w:hAnsiTheme="minorHAnsi" w:cstheme="minorHAnsi"/>
                <w:color w:val="000000"/>
                <w:sz w:val="16"/>
                <w:szCs w:val="16"/>
                <w:lang w:val="es-CO" w:eastAsia="es-CO"/>
              </w:rPr>
            </w:pPr>
          </w:p>
        </w:tc>
        <w:tc>
          <w:tcPr>
            <w:tcW w:w="1276" w:type="dxa"/>
            <w:vMerge/>
            <w:tcBorders>
              <w:left w:val="nil"/>
              <w:bottom w:val="single" w:sz="4" w:space="0" w:color="auto"/>
              <w:right w:val="single" w:sz="4" w:space="0" w:color="auto"/>
            </w:tcBorders>
            <w:shd w:val="clear" w:color="auto" w:fill="auto"/>
            <w:vAlign w:val="center"/>
          </w:tcPr>
          <w:p w14:paraId="10B20791" w14:textId="77777777" w:rsidR="0030216D"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1984" w:type="dxa"/>
            <w:vMerge/>
            <w:tcBorders>
              <w:left w:val="nil"/>
              <w:bottom w:val="single" w:sz="4" w:space="0" w:color="auto"/>
              <w:right w:val="single" w:sz="4" w:space="0" w:color="auto"/>
            </w:tcBorders>
            <w:shd w:val="clear" w:color="auto" w:fill="auto"/>
            <w:vAlign w:val="center"/>
          </w:tcPr>
          <w:p w14:paraId="18D90EF5"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1559" w:type="dxa"/>
            <w:vMerge/>
            <w:tcBorders>
              <w:left w:val="nil"/>
              <w:bottom w:val="single" w:sz="4" w:space="0" w:color="auto"/>
              <w:right w:val="single" w:sz="4" w:space="0" w:color="auto"/>
            </w:tcBorders>
            <w:shd w:val="clear" w:color="auto" w:fill="auto"/>
            <w:vAlign w:val="center"/>
          </w:tcPr>
          <w:p w14:paraId="5A1F9934" w14:textId="77777777" w:rsidR="0030216D" w:rsidRPr="002E7A9D" w:rsidRDefault="0030216D" w:rsidP="00ED72C2">
            <w:pPr>
              <w:jc w:val="center"/>
              <w:rPr>
                <w:rFonts w:asciiTheme="minorHAnsi" w:hAnsiTheme="minorHAnsi" w:cstheme="minorHAnsi"/>
                <w:sz w:val="16"/>
                <w:szCs w:val="16"/>
                <w:lang w:val="es-CO" w:eastAsia="es-CO"/>
              </w:rPr>
            </w:pPr>
          </w:p>
        </w:tc>
        <w:tc>
          <w:tcPr>
            <w:tcW w:w="993" w:type="dxa"/>
            <w:vMerge/>
            <w:tcBorders>
              <w:left w:val="nil"/>
              <w:bottom w:val="single" w:sz="4" w:space="0" w:color="auto"/>
              <w:right w:val="single" w:sz="4" w:space="0" w:color="auto"/>
            </w:tcBorders>
            <w:shd w:val="clear" w:color="auto" w:fill="auto"/>
            <w:vAlign w:val="center"/>
          </w:tcPr>
          <w:p w14:paraId="094555AE" w14:textId="77777777" w:rsidR="0030216D" w:rsidRPr="000B0F0A" w:rsidRDefault="0030216D" w:rsidP="00ED72C2">
            <w:pPr>
              <w:suppressAutoHyphens w:val="0"/>
              <w:autoSpaceDN/>
              <w:jc w:val="center"/>
              <w:textAlignment w:val="auto"/>
              <w:rPr>
                <w:rFonts w:asciiTheme="minorHAnsi" w:hAnsiTheme="minorHAnsi" w:cstheme="minorHAnsi"/>
                <w:sz w:val="16"/>
                <w:szCs w:val="16"/>
                <w:lang w:val="es-CO" w:eastAsia="es-CO"/>
              </w:rPr>
            </w:pPr>
          </w:p>
        </w:tc>
        <w:tc>
          <w:tcPr>
            <w:tcW w:w="4110" w:type="dxa"/>
            <w:tcBorders>
              <w:top w:val="single" w:sz="4" w:space="0" w:color="FFFFFF" w:themeColor="background1"/>
              <w:left w:val="nil"/>
              <w:bottom w:val="single" w:sz="4" w:space="0" w:color="auto"/>
              <w:right w:val="single" w:sz="4" w:space="0" w:color="auto"/>
            </w:tcBorders>
            <w:shd w:val="clear" w:color="auto" w:fill="auto"/>
            <w:noWrap/>
            <w:vAlign w:val="center"/>
          </w:tcPr>
          <w:p w14:paraId="43F4BC5E" w14:textId="77777777" w:rsidR="0030216D" w:rsidRPr="000B0F0A" w:rsidRDefault="0030216D" w:rsidP="00ED72C2">
            <w:pPr>
              <w:suppressAutoHyphens w:val="0"/>
              <w:autoSpaceDN/>
              <w:jc w:val="left"/>
              <w:textAlignment w:val="auto"/>
              <w:rPr>
                <w:rFonts w:asciiTheme="minorHAnsi" w:hAnsiTheme="minorHAnsi" w:cstheme="minorHAnsi"/>
                <w:b/>
                <w:bCs/>
                <w:sz w:val="16"/>
                <w:szCs w:val="16"/>
                <w:lang w:val="es-CO" w:eastAsia="es-CO"/>
              </w:rPr>
            </w:pPr>
          </w:p>
        </w:tc>
        <w:tc>
          <w:tcPr>
            <w:tcW w:w="3969" w:type="dxa"/>
            <w:vMerge/>
            <w:tcBorders>
              <w:left w:val="nil"/>
              <w:bottom w:val="single" w:sz="4" w:space="0" w:color="auto"/>
              <w:right w:val="single" w:sz="4" w:space="0" w:color="auto"/>
            </w:tcBorders>
            <w:shd w:val="clear" w:color="auto" w:fill="auto"/>
            <w:noWrap/>
            <w:vAlign w:val="center"/>
          </w:tcPr>
          <w:p w14:paraId="1EEB38EB" w14:textId="77777777" w:rsidR="0030216D" w:rsidRPr="000B0F0A" w:rsidRDefault="0030216D" w:rsidP="00ED72C2">
            <w:pPr>
              <w:jc w:val="left"/>
              <w:rPr>
                <w:rFonts w:asciiTheme="minorHAnsi" w:hAnsiTheme="minorHAnsi" w:cstheme="minorHAnsi"/>
                <w:b/>
                <w:bCs/>
                <w:sz w:val="16"/>
                <w:szCs w:val="16"/>
                <w:lang w:val="es-CO" w:eastAsia="es-CO"/>
              </w:rPr>
            </w:pPr>
          </w:p>
        </w:tc>
      </w:tr>
      <w:tr w:rsidR="004E0062" w:rsidRPr="000B0F0A" w14:paraId="3554B289" w14:textId="77777777" w:rsidTr="007C4117">
        <w:trPr>
          <w:trHeight w:val="1652"/>
        </w:trPr>
        <w:tc>
          <w:tcPr>
            <w:tcW w:w="317" w:type="dxa"/>
            <w:vMerge w:val="restart"/>
            <w:tcBorders>
              <w:top w:val="single" w:sz="4" w:space="0" w:color="auto"/>
              <w:left w:val="single" w:sz="4" w:space="0" w:color="auto"/>
              <w:right w:val="single" w:sz="4" w:space="0" w:color="auto"/>
            </w:tcBorders>
            <w:shd w:val="clear" w:color="auto" w:fill="auto"/>
            <w:vAlign w:val="center"/>
            <w:hideMark/>
          </w:tcPr>
          <w:p w14:paraId="4DDEEE1A" w14:textId="77777777" w:rsidR="004E0062" w:rsidRPr="000B0F0A" w:rsidRDefault="004E006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lastRenderedPageBreak/>
              <w:t>16</w:t>
            </w:r>
          </w:p>
        </w:tc>
        <w:tc>
          <w:tcPr>
            <w:tcW w:w="954" w:type="dxa"/>
            <w:vMerge w:val="restart"/>
            <w:tcBorders>
              <w:top w:val="single" w:sz="4" w:space="0" w:color="auto"/>
              <w:left w:val="nil"/>
              <w:right w:val="single" w:sz="4" w:space="0" w:color="auto"/>
            </w:tcBorders>
            <w:shd w:val="clear" w:color="auto" w:fill="auto"/>
            <w:vAlign w:val="center"/>
            <w:hideMark/>
          </w:tcPr>
          <w:p w14:paraId="7C6140D2" w14:textId="77777777" w:rsidR="004E0062" w:rsidRPr="000B0F0A" w:rsidRDefault="004E006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Ingresos por Contratos de Concesión.</w:t>
            </w:r>
          </w:p>
        </w:tc>
        <w:tc>
          <w:tcPr>
            <w:tcW w:w="3969" w:type="dxa"/>
            <w:vMerge w:val="restart"/>
            <w:tcBorders>
              <w:top w:val="single" w:sz="4" w:space="0" w:color="auto"/>
              <w:left w:val="nil"/>
              <w:right w:val="single" w:sz="4" w:space="0" w:color="auto"/>
            </w:tcBorders>
            <w:shd w:val="clear" w:color="auto" w:fill="auto"/>
            <w:vAlign w:val="center"/>
            <w:hideMark/>
          </w:tcPr>
          <w:p w14:paraId="3A00AF47" w14:textId="77777777" w:rsidR="004E0062" w:rsidRPr="00A50838" w:rsidRDefault="004E0062" w:rsidP="00ED72C2">
            <w:pPr>
              <w:suppressAutoHyphens w:val="0"/>
              <w:autoSpaceDN/>
              <w:textAlignment w:val="auto"/>
              <w:rPr>
                <w:rFonts w:asciiTheme="minorHAnsi" w:hAnsiTheme="minorHAnsi" w:cstheme="minorHAnsi"/>
                <w:i/>
                <w:sz w:val="16"/>
                <w:szCs w:val="16"/>
                <w:lang w:val="es-CO" w:eastAsia="es-CO"/>
              </w:rPr>
            </w:pPr>
            <w:r w:rsidRPr="00A50838">
              <w:rPr>
                <w:rFonts w:asciiTheme="minorHAnsi" w:hAnsiTheme="minorHAnsi" w:cstheme="minorHAnsi"/>
                <w:i/>
                <w:sz w:val="16"/>
                <w:szCs w:val="16"/>
                <w:lang w:val="es-CO" w:eastAsia="es-CO"/>
              </w:rPr>
              <w:t>Realizar conciliación trimestral de los ingresos recibidos por los acuerdos de concesión.</w:t>
            </w:r>
            <w:r w:rsidRPr="00A50838">
              <w:rPr>
                <w:rFonts w:asciiTheme="minorHAnsi" w:hAnsiTheme="minorHAnsi" w:cstheme="minorHAnsi"/>
                <w:i/>
                <w:sz w:val="16"/>
                <w:szCs w:val="16"/>
                <w:lang w:val="es-CO" w:eastAsia="es-CO"/>
              </w:rPr>
              <w:br/>
            </w:r>
            <w:r w:rsidRPr="00A50838">
              <w:rPr>
                <w:rFonts w:asciiTheme="minorHAnsi" w:hAnsiTheme="minorHAnsi" w:cstheme="minorHAnsi"/>
                <w:i/>
                <w:sz w:val="16"/>
                <w:szCs w:val="16"/>
                <w:lang w:val="es-CO" w:eastAsia="es-CO"/>
              </w:rPr>
              <w:br/>
              <w:t>1. La Subdirección Técnica de Parques enviará a Tesorería el informe trimestral de los Ingresos, que se generen en virtud de los contratos de concesión, en razón a la contraprestación a favor del IDRD de los ingresos monetarios y no monetarios brutos del concesionario, según lo estipulado en el contrato.</w:t>
            </w:r>
            <w:r w:rsidRPr="00A50838">
              <w:rPr>
                <w:rFonts w:asciiTheme="minorHAnsi" w:hAnsiTheme="minorHAnsi" w:cstheme="minorHAnsi"/>
                <w:i/>
                <w:sz w:val="16"/>
                <w:szCs w:val="16"/>
                <w:lang w:val="es-CO" w:eastAsia="es-CO"/>
              </w:rPr>
              <w:br/>
            </w:r>
            <w:r w:rsidRPr="00A50838">
              <w:rPr>
                <w:rFonts w:asciiTheme="minorHAnsi" w:hAnsiTheme="minorHAnsi" w:cstheme="minorHAnsi"/>
                <w:i/>
                <w:sz w:val="16"/>
                <w:szCs w:val="16"/>
                <w:lang w:val="es-CO" w:eastAsia="es-CO"/>
              </w:rPr>
              <w:br/>
              <w:t>2. El área de tesorería enviará copia de la conciliación trimestral a Contabilidad, con las correspondientes firmas.</w:t>
            </w:r>
          </w:p>
        </w:tc>
        <w:tc>
          <w:tcPr>
            <w:tcW w:w="3544" w:type="dxa"/>
            <w:vMerge w:val="restart"/>
            <w:tcBorders>
              <w:top w:val="single" w:sz="4" w:space="0" w:color="auto"/>
              <w:left w:val="nil"/>
              <w:right w:val="single" w:sz="4" w:space="0" w:color="auto"/>
            </w:tcBorders>
            <w:shd w:val="clear" w:color="auto" w:fill="auto"/>
            <w:vAlign w:val="center"/>
            <w:hideMark/>
          </w:tcPr>
          <w:p w14:paraId="4750FB5A" w14:textId="6F5BEF6A" w:rsidR="004E0062" w:rsidRPr="000B0F0A" w:rsidRDefault="004E0062" w:rsidP="009E195B">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t xml:space="preserve">13.4 </w:t>
            </w:r>
            <w:r w:rsidRPr="000B0F0A">
              <w:rPr>
                <w:rFonts w:asciiTheme="minorHAnsi" w:hAnsiTheme="minorHAnsi" w:cstheme="minorHAnsi"/>
                <w:b/>
                <w:bCs/>
                <w:color w:val="000000"/>
                <w:sz w:val="16"/>
                <w:szCs w:val="16"/>
                <w:lang w:val="es-CO" w:eastAsia="es-CO"/>
              </w:rPr>
              <w:t>Reconocimiento de ingresos y de gastos generados por la operación y mantenimiento del activo en concesión</w:t>
            </w:r>
            <w:r w:rsidRPr="000B0F0A">
              <w:rPr>
                <w:rFonts w:asciiTheme="minorHAnsi" w:hAnsiTheme="minorHAnsi" w:cstheme="minorHAnsi"/>
                <w:b/>
                <w:bCs/>
                <w:color w:val="000000"/>
                <w:sz w:val="16"/>
                <w:szCs w:val="16"/>
                <w:lang w:val="es-CO" w:eastAsia="es-CO"/>
              </w:rPr>
              <w:br/>
              <w:t>"</w:t>
            </w:r>
            <w:r w:rsidRPr="000B0F0A">
              <w:rPr>
                <w:rFonts w:asciiTheme="minorHAnsi" w:hAnsiTheme="minorHAnsi" w:cstheme="minorHAnsi"/>
                <w:color w:val="000000"/>
                <w:sz w:val="16"/>
                <w:szCs w:val="16"/>
                <w:lang w:val="es-CO" w:eastAsia="es-CO"/>
              </w:rPr>
              <w:t>Si la entidad concedente compensa al concesionario por la operación y mantenimiento del activo en concesión a través de valores específicos o cuantificables durante el plazo del acuerdo de concesión, reconocerá los ingresos y gastos asociados a la operación y mantenimiento del activo en concesión en el periodo en que estos se generen. Por su parte, si la entidad concedente compensa al concesionario a través de la cesión de los derechos a obtener ingresos por la explotación del activo en concesión o de otro activo que genere ingresos, reconocerá como ingreso únicamente la amortización del pasivo diferido, por tanto, no reconocerá ingresos y gastos generados por la operación y mantenimiento del activo."</w:t>
            </w:r>
            <w:r w:rsidRPr="000B0F0A">
              <w:rPr>
                <w:rFonts w:asciiTheme="minorHAnsi" w:hAnsiTheme="minorHAnsi" w:cstheme="minorHAnsi"/>
                <w:b/>
                <w:bCs/>
                <w:color w:val="000000"/>
                <w:sz w:val="16"/>
                <w:szCs w:val="16"/>
                <w:lang w:val="es-CO" w:eastAsia="es-CO"/>
              </w:rPr>
              <w:br/>
            </w:r>
            <w:r w:rsidRPr="000B0F0A">
              <w:rPr>
                <w:rFonts w:asciiTheme="minorHAnsi" w:hAnsiTheme="minorHAnsi" w:cstheme="minorHAnsi"/>
                <w:b/>
                <w:bCs/>
                <w:color w:val="000000"/>
                <w:sz w:val="16"/>
                <w:szCs w:val="16"/>
                <w:lang w:val="es-CO" w:eastAsia="es-CO"/>
              </w:rPr>
              <w:br/>
              <w:t>13.5 Reconocimiento de ingresos y de gastos generados en el desarrollo de una actividad reservada a la entidad concedente:</w:t>
            </w:r>
            <w:r w:rsidRPr="000B0F0A">
              <w:rPr>
                <w:rFonts w:asciiTheme="minorHAnsi" w:hAnsiTheme="minorHAnsi" w:cstheme="minorHAnsi"/>
                <w:b/>
                <w:bCs/>
                <w:color w:val="000000"/>
                <w:sz w:val="16"/>
                <w:szCs w:val="16"/>
                <w:lang w:val="es-CO" w:eastAsia="es-CO"/>
              </w:rPr>
              <w:br/>
              <w:t xml:space="preserve"> "</w:t>
            </w:r>
            <w:r w:rsidRPr="000B0F0A">
              <w:rPr>
                <w:rFonts w:asciiTheme="minorHAnsi" w:hAnsiTheme="minorHAnsi" w:cstheme="minorHAnsi"/>
                <w:color w:val="000000"/>
                <w:sz w:val="16"/>
                <w:szCs w:val="16"/>
                <w:lang w:val="es-CO" w:eastAsia="es-CO"/>
              </w:rPr>
              <w:t>Los ingresos y gastos asociados con el desarrollo de una actividad reservada a la entidad concedente se reconocerán en el periodo en que estos se generen..."</w:t>
            </w:r>
          </w:p>
        </w:tc>
        <w:tc>
          <w:tcPr>
            <w:tcW w:w="1276" w:type="dxa"/>
            <w:vMerge w:val="restart"/>
            <w:tcBorders>
              <w:top w:val="single" w:sz="4" w:space="0" w:color="auto"/>
              <w:left w:val="nil"/>
              <w:right w:val="single" w:sz="4" w:space="0" w:color="auto"/>
            </w:tcBorders>
            <w:shd w:val="clear" w:color="auto" w:fill="auto"/>
            <w:vAlign w:val="center"/>
            <w:hideMark/>
          </w:tcPr>
          <w:p w14:paraId="08C78D41" w14:textId="405FCBD7" w:rsidR="004E0062" w:rsidRPr="000B0F0A" w:rsidRDefault="004E006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Subdirección de parques/Tesorería</w:t>
            </w:r>
          </w:p>
        </w:tc>
        <w:tc>
          <w:tcPr>
            <w:tcW w:w="1984" w:type="dxa"/>
            <w:vMerge w:val="restart"/>
            <w:tcBorders>
              <w:top w:val="single" w:sz="4" w:space="0" w:color="auto"/>
              <w:left w:val="nil"/>
              <w:right w:val="single" w:sz="4" w:space="0" w:color="auto"/>
            </w:tcBorders>
            <w:shd w:val="clear" w:color="auto" w:fill="auto"/>
            <w:vAlign w:val="center"/>
            <w:hideMark/>
          </w:tcPr>
          <w:p w14:paraId="6A82BD1E" w14:textId="574A8222" w:rsidR="004E0062" w:rsidRPr="000B0F0A" w:rsidRDefault="004E006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Quince primeros días de cada trimestre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E71448" w14:textId="77777777" w:rsidR="004E0062" w:rsidRDefault="004E006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Tesorería</w:t>
            </w:r>
          </w:p>
          <w:p w14:paraId="349E252E" w14:textId="27FFB26A" w:rsidR="004E0062" w:rsidRPr="000B0F0A" w:rsidRDefault="004E0062" w:rsidP="00ED72C2">
            <w:pPr>
              <w:suppressAutoHyphens w:val="0"/>
              <w:autoSpaceDN/>
              <w:jc w:val="center"/>
              <w:textAlignment w:val="auto"/>
              <w:rPr>
                <w:rFonts w:asciiTheme="minorHAnsi" w:hAnsiTheme="minorHAnsi" w:cstheme="minorHAnsi"/>
                <w:sz w:val="16"/>
                <w:szCs w:val="16"/>
                <w:lang w:val="es-CO" w:eastAsia="es-CO"/>
              </w:rPr>
            </w:pPr>
            <w:r w:rsidRPr="00BE0960">
              <w:rPr>
                <w:rFonts w:asciiTheme="minorHAnsi" w:hAnsiTheme="minorHAnsi" w:cstheme="minorHAnsi"/>
                <w:sz w:val="16"/>
                <w:szCs w:val="16"/>
                <w:lang w:val="es-CO" w:eastAsia="es-CO"/>
              </w:rPr>
              <w:t>20213320125753</w:t>
            </w:r>
          </w:p>
        </w:tc>
        <w:tc>
          <w:tcPr>
            <w:tcW w:w="993" w:type="dxa"/>
            <w:vMerge w:val="restart"/>
            <w:tcBorders>
              <w:top w:val="single" w:sz="4" w:space="0" w:color="auto"/>
              <w:left w:val="nil"/>
              <w:right w:val="single" w:sz="4" w:space="0" w:color="auto"/>
            </w:tcBorders>
            <w:shd w:val="clear" w:color="auto" w:fill="92D050"/>
            <w:vAlign w:val="center"/>
            <w:hideMark/>
          </w:tcPr>
          <w:p w14:paraId="07A26D6B" w14:textId="77777777" w:rsidR="004E0062" w:rsidRDefault="004E006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SÍ</w:t>
            </w:r>
          </w:p>
          <w:p w14:paraId="32052429" w14:textId="5FB09C62" w:rsidR="004E0062" w:rsidRPr="000B0F0A" w:rsidRDefault="004E006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0A49198E" w14:textId="7EEEF938" w:rsidR="004E0062" w:rsidRPr="000B0F0A" w:rsidRDefault="004E0062" w:rsidP="00BE0960">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w:t>
            </w:r>
            <w:r>
              <w:rPr>
                <w:rFonts w:asciiTheme="minorHAnsi" w:hAnsiTheme="minorHAnsi" w:cstheme="minorHAnsi"/>
                <w:sz w:val="16"/>
                <w:szCs w:val="16"/>
                <w:lang w:val="es-CO" w:eastAsia="es-CO"/>
              </w:rPr>
              <w:t xml:space="preserve">Tesorería informa que </w:t>
            </w:r>
            <w:r w:rsidRPr="00BE0960">
              <w:rPr>
                <w:rFonts w:asciiTheme="minorHAnsi" w:hAnsiTheme="minorHAnsi" w:cstheme="minorHAnsi"/>
                <w:i/>
                <w:sz w:val="16"/>
                <w:szCs w:val="16"/>
                <w:lang w:val="es-CO" w:eastAsia="es-CO"/>
              </w:rPr>
              <w:t>“Se remite la conciliación de ingresos recibidos por concesiones”</w:t>
            </w:r>
          </w:p>
        </w:tc>
        <w:tc>
          <w:tcPr>
            <w:tcW w:w="3969" w:type="dxa"/>
            <w:vMerge w:val="restart"/>
            <w:tcBorders>
              <w:top w:val="single" w:sz="4" w:space="0" w:color="auto"/>
              <w:left w:val="nil"/>
              <w:right w:val="single" w:sz="4" w:space="0" w:color="auto"/>
            </w:tcBorders>
            <w:shd w:val="clear" w:color="auto" w:fill="auto"/>
            <w:noWrap/>
            <w:vAlign w:val="center"/>
            <w:hideMark/>
          </w:tcPr>
          <w:p w14:paraId="1653ECB9" w14:textId="77777777" w:rsidR="004E0062" w:rsidRPr="004E0062" w:rsidRDefault="004E0062" w:rsidP="00DA7C72">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w:t>
            </w:r>
            <w:r w:rsidRPr="004E0062">
              <w:rPr>
                <w:rFonts w:asciiTheme="minorHAnsi" w:hAnsiTheme="minorHAnsi" w:cstheme="minorHAnsi"/>
                <w:sz w:val="16"/>
                <w:szCs w:val="16"/>
                <w:lang w:val="es-CO" w:eastAsia="es-CO"/>
              </w:rPr>
              <w:t>La STP remitió a Tesorería, mediante radicado 20216200042533 del 05-feb-2021, la información de 'Ingresos contrato de concesión 3665 de 2019', del concesionario Colombiana de Escenarios; y mediante r</w:t>
            </w:r>
            <w:r>
              <w:rPr>
                <w:rFonts w:asciiTheme="minorHAnsi" w:hAnsiTheme="minorHAnsi" w:cstheme="minorHAnsi"/>
                <w:sz w:val="16"/>
                <w:szCs w:val="16"/>
                <w:lang w:val="es-CO" w:eastAsia="es-CO"/>
              </w:rPr>
              <w:t>a</w:t>
            </w:r>
            <w:r w:rsidRPr="004E0062">
              <w:rPr>
                <w:rFonts w:asciiTheme="minorHAnsi" w:hAnsiTheme="minorHAnsi" w:cstheme="minorHAnsi"/>
                <w:sz w:val="16"/>
                <w:szCs w:val="16"/>
                <w:lang w:val="es-CO" w:eastAsia="es-CO"/>
              </w:rPr>
              <w:t>dicado 20216200060953 del 18-feb-2021, la 'Información de ingresos contrato de concesión IDRD-APP-IP-001 de 2015'.</w:t>
            </w:r>
          </w:p>
          <w:p w14:paraId="2CAD380C" w14:textId="77777777" w:rsidR="004E0062" w:rsidRPr="004E0062" w:rsidRDefault="004E0062" w:rsidP="00DA7C72">
            <w:pPr>
              <w:suppressAutoHyphens w:val="0"/>
              <w:autoSpaceDN/>
              <w:textAlignment w:val="auto"/>
              <w:rPr>
                <w:rFonts w:asciiTheme="minorHAnsi" w:hAnsiTheme="minorHAnsi" w:cstheme="minorHAnsi"/>
                <w:sz w:val="16"/>
                <w:szCs w:val="16"/>
                <w:lang w:val="es-CO" w:eastAsia="es-CO"/>
              </w:rPr>
            </w:pPr>
          </w:p>
          <w:p w14:paraId="0C4BEFBE" w14:textId="77777777" w:rsidR="004E0062" w:rsidRPr="004E0062" w:rsidRDefault="004E0062" w:rsidP="00DA7C72">
            <w:pPr>
              <w:suppressAutoHyphens w:val="0"/>
              <w:autoSpaceDN/>
              <w:textAlignment w:val="auto"/>
              <w:rPr>
                <w:rFonts w:asciiTheme="minorHAnsi" w:hAnsiTheme="minorHAnsi" w:cstheme="minorHAnsi"/>
                <w:sz w:val="16"/>
                <w:szCs w:val="16"/>
                <w:lang w:val="es-CO" w:eastAsia="es-CO"/>
              </w:rPr>
            </w:pPr>
            <w:r w:rsidRPr="004E0062">
              <w:rPr>
                <w:rFonts w:asciiTheme="minorHAnsi" w:hAnsiTheme="minorHAnsi" w:cstheme="minorHAnsi"/>
                <w:sz w:val="16"/>
                <w:szCs w:val="16"/>
                <w:lang w:val="es-CO" w:eastAsia="es-CO"/>
              </w:rPr>
              <w:t>Tesorería allega la conci</w:t>
            </w:r>
            <w:r>
              <w:rPr>
                <w:rFonts w:asciiTheme="minorHAnsi" w:hAnsiTheme="minorHAnsi" w:cstheme="minorHAnsi"/>
                <w:sz w:val="16"/>
                <w:szCs w:val="16"/>
                <w:lang w:val="es-CO" w:eastAsia="es-CO"/>
              </w:rPr>
              <w:t>l</w:t>
            </w:r>
            <w:r w:rsidRPr="004E0062">
              <w:rPr>
                <w:rFonts w:asciiTheme="minorHAnsi" w:hAnsiTheme="minorHAnsi" w:cstheme="minorHAnsi"/>
                <w:sz w:val="16"/>
                <w:szCs w:val="16"/>
                <w:lang w:val="es-CO" w:eastAsia="es-CO"/>
              </w:rPr>
              <w:t>iación firmada de 'Ingresos recibidos por concesiones', con corte a dic-2020.</w:t>
            </w:r>
          </w:p>
          <w:p w14:paraId="5838F528" w14:textId="77777777" w:rsidR="004E0062" w:rsidRPr="004E0062" w:rsidRDefault="004E0062" w:rsidP="00DA7C72">
            <w:pPr>
              <w:suppressAutoHyphens w:val="0"/>
              <w:autoSpaceDN/>
              <w:textAlignment w:val="auto"/>
              <w:rPr>
                <w:rFonts w:asciiTheme="minorHAnsi" w:hAnsiTheme="minorHAnsi" w:cstheme="minorHAnsi"/>
                <w:sz w:val="16"/>
                <w:szCs w:val="16"/>
                <w:lang w:val="es-CO" w:eastAsia="es-CO"/>
              </w:rPr>
            </w:pPr>
          </w:p>
          <w:p w14:paraId="31661C34" w14:textId="1C21F505" w:rsidR="004E0062" w:rsidRPr="000B0F0A" w:rsidRDefault="004E0062" w:rsidP="00DA7C72">
            <w:pPr>
              <w:suppressAutoHyphens w:val="0"/>
              <w:autoSpaceDN/>
              <w:textAlignment w:val="auto"/>
              <w:rPr>
                <w:rFonts w:asciiTheme="minorHAnsi" w:hAnsiTheme="minorHAnsi" w:cstheme="minorHAnsi"/>
                <w:sz w:val="16"/>
                <w:szCs w:val="16"/>
                <w:lang w:val="es-CO" w:eastAsia="es-CO"/>
              </w:rPr>
            </w:pPr>
            <w:r w:rsidRPr="004E0062">
              <w:rPr>
                <w:rFonts w:asciiTheme="minorHAnsi" w:hAnsiTheme="minorHAnsi" w:cstheme="minorHAnsi"/>
                <w:sz w:val="16"/>
                <w:szCs w:val="16"/>
                <w:lang w:val="es-CO" w:eastAsia="es-CO"/>
              </w:rPr>
              <w:t>Con base en lo anterior, se evidencia el cumplimiento de la actividad definida en el Plan de Sostenibilidad Contable.</w:t>
            </w:r>
          </w:p>
        </w:tc>
      </w:tr>
      <w:tr w:rsidR="004E0062" w:rsidRPr="000B0F0A" w14:paraId="6BA8D6E6" w14:textId="77777777" w:rsidTr="009B353E">
        <w:trPr>
          <w:trHeight w:val="3532"/>
        </w:trPr>
        <w:tc>
          <w:tcPr>
            <w:tcW w:w="317" w:type="dxa"/>
            <w:vMerge/>
            <w:tcBorders>
              <w:left w:val="single" w:sz="4" w:space="0" w:color="auto"/>
              <w:bottom w:val="single" w:sz="4" w:space="0" w:color="auto"/>
              <w:right w:val="single" w:sz="4" w:space="0" w:color="auto"/>
            </w:tcBorders>
            <w:shd w:val="clear" w:color="auto" w:fill="auto"/>
            <w:vAlign w:val="center"/>
          </w:tcPr>
          <w:p w14:paraId="4122E851" w14:textId="77777777" w:rsidR="004E0062" w:rsidRPr="000B0F0A" w:rsidRDefault="004E0062"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bottom w:val="single" w:sz="4" w:space="0" w:color="auto"/>
              <w:right w:val="single" w:sz="4" w:space="0" w:color="auto"/>
            </w:tcBorders>
            <w:shd w:val="clear" w:color="auto" w:fill="auto"/>
            <w:vAlign w:val="center"/>
          </w:tcPr>
          <w:p w14:paraId="73373740" w14:textId="77777777" w:rsidR="004E0062" w:rsidRPr="000B0F0A" w:rsidRDefault="004E0062"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bottom w:val="single" w:sz="4" w:space="0" w:color="auto"/>
              <w:right w:val="single" w:sz="4" w:space="0" w:color="auto"/>
            </w:tcBorders>
            <w:shd w:val="clear" w:color="auto" w:fill="auto"/>
            <w:vAlign w:val="center"/>
          </w:tcPr>
          <w:p w14:paraId="284F8B90" w14:textId="77777777" w:rsidR="004E0062" w:rsidRPr="00A50838" w:rsidRDefault="004E0062" w:rsidP="00ED72C2">
            <w:pPr>
              <w:suppressAutoHyphens w:val="0"/>
              <w:autoSpaceDN/>
              <w:textAlignment w:val="auto"/>
              <w:rPr>
                <w:rFonts w:asciiTheme="minorHAnsi" w:hAnsiTheme="minorHAnsi" w:cstheme="minorHAnsi"/>
                <w:i/>
                <w:sz w:val="16"/>
                <w:szCs w:val="16"/>
                <w:lang w:val="es-CO" w:eastAsia="es-CO"/>
              </w:rPr>
            </w:pPr>
          </w:p>
        </w:tc>
        <w:tc>
          <w:tcPr>
            <w:tcW w:w="3544" w:type="dxa"/>
            <w:vMerge/>
            <w:tcBorders>
              <w:left w:val="nil"/>
              <w:bottom w:val="single" w:sz="4" w:space="0" w:color="auto"/>
              <w:right w:val="single" w:sz="4" w:space="0" w:color="auto"/>
            </w:tcBorders>
            <w:shd w:val="clear" w:color="auto" w:fill="auto"/>
            <w:vAlign w:val="center"/>
          </w:tcPr>
          <w:p w14:paraId="0EA9C9CA" w14:textId="77777777" w:rsidR="004E0062" w:rsidRPr="000B0F0A" w:rsidRDefault="004E0062" w:rsidP="009E195B">
            <w:pPr>
              <w:suppressAutoHyphens w:val="0"/>
              <w:autoSpaceDN/>
              <w:textAlignment w:val="auto"/>
              <w:rPr>
                <w:rFonts w:asciiTheme="minorHAnsi" w:hAnsiTheme="minorHAnsi" w:cstheme="minorHAnsi"/>
                <w:color w:val="000000"/>
                <w:sz w:val="16"/>
                <w:szCs w:val="16"/>
                <w:lang w:val="es-CO" w:eastAsia="es-CO"/>
              </w:rPr>
            </w:pPr>
          </w:p>
        </w:tc>
        <w:tc>
          <w:tcPr>
            <w:tcW w:w="1276" w:type="dxa"/>
            <w:vMerge/>
            <w:tcBorders>
              <w:left w:val="nil"/>
              <w:bottom w:val="single" w:sz="4" w:space="0" w:color="auto"/>
              <w:right w:val="single" w:sz="4" w:space="0" w:color="auto"/>
            </w:tcBorders>
            <w:shd w:val="clear" w:color="auto" w:fill="auto"/>
            <w:vAlign w:val="center"/>
          </w:tcPr>
          <w:p w14:paraId="22AEFFE2" w14:textId="1F43FB82" w:rsidR="004E0062" w:rsidRPr="000B0F0A" w:rsidRDefault="004E0062" w:rsidP="00FA25A0">
            <w:pPr>
              <w:rPr>
                <w:rFonts w:asciiTheme="minorHAnsi" w:hAnsiTheme="minorHAnsi" w:cstheme="minorHAnsi"/>
                <w:sz w:val="16"/>
                <w:szCs w:val="16"/>
                <w:lang w:val="es-CO" w:eastAsia="es-CO"/>
              </w:rPr>
            </w:pPr>
          </w:p>
        </w:tc>
        <w:tc>
          <w:tcPr>
            <w:tcW w:w="1984" w:type="dxa"/>
            <w:vMerge/>
            <w:tcBorders>
              <w:left w:val="nil"/>
              <w:bottom w:val="single" w:sz="4" w:space="0" w:color="auto"/>
              <w:right w:val="single" w:sz="4" w:space="0" w:color="auto"/>
            </w:tcBorders>
            <w:shd w:val="clear" w:color="auto" w:fill="auto"/>
            <w:vAlign w:val="center"/>
          </w:tcPr>
          <w:p w14:paraId="2E9B4F1A" w14:textId="77777777" w:rsidR="004E0062" w:rsidRPr="000B0F0A" w:rsidRDefault="004E0062" w:rsidP="00ED72C2">
            <w:pPr>
              <w:jc w:val="center"/>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ACA1C9A" w14:textId="77777777" w:rsidR="004E0062" w:rsidRDefault="004E006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 xml:space="preserve">STC: </w:t>
            </w:r>
            <w:r w:rsidRPr="00667485">
              <w:rPr>
                <w:rFonts w:asciiTheme="minorHAnsi" w:hAnsiTheme="minorHAnsi" w:cstheme="minorHAnsi"/>
                <w:sz w:val="16"/>
                <w:szCs w:val="16"/>
                <w:lang w:val="es-CO" w:eastAsia="es-CO"/>
              </w:rPr>
              <w:t>20214000124603</w:t>
            </w:r>
          </w:p>
          <w:p w14:paraId="57C68A69" w14:textId="77777777" w:rsidR="004E0062" w:rsidRDefault="004E0062" w:rsidP="00ED72C2">
            <w:pPr>
              <w:suppressAutoHyphens w:val="0"/>
              <w:autoSpaceDN/>
              <w:jc w:val="center"/>
              <w:textAlignment w:val="auto"/>
              <w:rPr>
                <w:rFonts w:asciiTheme="minorHAnsi" w:hAnsiTheme="minorHAnsi" w:cstheme="minorHAnsi"/>
                <w:sz w:val="16"/>
                <w:szCs w:val="16"/>
                <w:lang w:val="es-CO" w:eastAsia="es-CO"/>
              </w:rPr>
            </w:pPr>
          </w:p>
          <w:p w14:paraId="301DAA99" w14:textId="77777777" w:rsidR="004E0062" w:rsidRDefault="004E0062" w:rsidP="006B487D">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STP</w:t>
            </w:r>
          </w:p>
          <w:p w14:paraId="173675A9" w14:textId="7D268EE3" w:rsidR="004E0062" w:rsidRPr="000B0F0A" w:rsidRDefault="004E0062" w:rsidP="006B487D">
            <w:pPr>
              <w:suppressAutoHyphens w:val="0"/>
              <w:autoSpaceDN/>
              <w:jc w:val="center"/>
              <w:textAlignment w:val="auto"/>
              <w:rPr>
                <w:rFonts w:asciiTheme="minorHAnsi" w:hAnsiTheme="minorHAnsi" w:cstheme="minorHAnsi"/>
                <w:sz w:val="16"/>
                <w:szCs w:val="16"/>
                <w:lang w:val="es-CO" w:eastAsia="es-CO"/>
              </w:rPr>
            </w:pPr>
            <w:r w:rsidRPr="00A64017">
              <w:rPr>
                <w:rFonts w:asciiTheme="minorHAnsi" w:hAnsiTheme="minorHAnsi" w:cstheme="minorHAnsi"/>
                <w:sz w:val="16"/>
                <w:szCs w:val="16"/>
                <w:lang w:val="es-CO" w:eastAsia="es-CO"/>
              </w:rPr>
              <w:t>20216200126483</w:t>
            </w:r>
          </w:p>
        </w:tc>
        <w:tc>
          <w:tcPr>
            <w:tcW w:w="993" w:type="dxa"/>
            <w:vMerge/>
            <w:tcBorders>
              <w:left w:val="nil"/>
              <w:bottom w:val="single" w:sz="4" w:space="0" w:color="auto"/>
              <w:right w:val="single" w:sz="4" w:space="0" w:color="auto"/>
            </w:tcBorders>
            <w:shd w:val="clear" w:color="auto" w:fill="92D050"/>
            <w:vAlign w:val="center"/>
          </w:tcPr>
          <w:p w14:paraId="1F4C8660" w14:textId="77777777" w:rsidR="004E0062" w:rsidRPr="000B0F0A" w:rsidRDefault="004E0062" w:rsidP="00ED72C2">
            <w:pPr>
              <w:jc w:val="center"/>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1C7378CC" w14:textId="15127413" w:rsidR="004E0062" w:rsidRDefault="004E0062" w:rsidP="00667485">
            <w:pPr>
              <w:rPr>
                <w:rFonts w:asciiTheme="minorHAnsi" w:hAnsiTheme="minorHAnsi" w:cstheme="minorHAnsi"/>
                <w:bCs/>
                <w:sz w:val="16"/>
                <w:szCs w:val="16"/>
                <w:lang w:val="es-CO" w:eastAsia="es-CO"/>
              </w:rPr>
            </w:pPr>
            <w:r w:rsidRPr="000B0F0A">
              <w:rPr>
                <w:rFonts w:asciiTheme="minorHAnsi" w:hAnsiTheme="minorHAnsi" w:cstheme="minorHAnsi"/>
                <w:b/>
                <w:bCs/>
                <w:sz w:val="16"/>
                <w:szCs w:val="16"/>
                <w:lang w:val="es-CO" w:eastAsia="es-CO"/>
              </w:rPr>
              <w:t> </w:t>
            </w:r>
            <w:r>
              <w:rPr>
                <w:rFonts w:asciiTheme="minorHAnsi" w:hAnsiTheme="minorHAnsi" w:cstheme="minorHAnsi"/>
                <w:bCs/>
                <w:sz w:val="16"/>
                <w:szCs w:val="16"/>
                <w:lang w:val="es-CO" w:eastAsia="es-CO"/>
              </w:rPr>
              <w:t>La STC</w:t>
            </w:r>
            <w:r w:rsidRPr="008036C3">
              <w:rPr>
                <w:rFonts w:asciiTheme="minorHAnsi" w:hAnsiTheme="minorHAnsi" w:cstheme="minorHAnsi"/>
                <w:bCs/>
                <w:sz w:val="16"/>
                <w:szCs w:val="16"/>
                <w:lang w:val="es-CO" w:eastAsia="es-CO"/>
              </w:rPr>
              <w:t xml:space="preserve"> no emit</w:t>
            </w:r>
            <w:r>
              <w:rPr>
                <w:rFonts w:asciiTheme="minorHAnsi" w:hAnsiTheme="minorHAnsi" w:cstheme="minorHAnsi"/>
                <w:bCs/>
                <w:sz w:val="16"/>
                <w:szCs w:val="16"/>
                <w:lang w:val="es-CO" w:eastAsia="es-CO"/>
              </w:rPr>
              <w:t xml:space="preserve">ió </w:t>
            </w:r>
            <w:r w:rsidRPr="008036C3">
              <w:rPr>
                <w:rFonts w:asciiTheme="minorHAnsi" w:hAnsiTheme="minorHAnsi" w:cstheme="minorHAnsi"/>
                <w:bCs/>
                <w:sz w:val="16"/>
                <w:szCs w:val="16"/>
                <w:lang w:val="es-CO" w:eastAsia="es-CO"/>
              </w:rPr>
              <w:t xml:space="preserve">respuesta a la solicitud sobre este tema, ante el requerimiento </w:t>
            </w:r>
            <w:r w:rsidRPr="00B84271">
              <w:rPr>
                <w:rFonts w:asciiTheme="minorHAnsi" w:hAnsiTheme="minorHAnsi" w:cstheme="minorHAnsi"/>
                <w:bCs/>
                <w:sz w:val="16"/>
                <w:szCs w:val="16"/>
                <w:lang w:val="es-CO" w:eastAsia="es-CO"/>
              </w:rPr>
              <w:t>20211500110583</w:t>
            </w:r>
            <w:r>
              <w:rPr>
                <w:rFonts w:asciiTheme="minorHAnsi" w:hAnsiTheme="minorHAnsi" w:cstheme="minorHAnsi"/>
                <w:bCs/>
                <w:sz w:val="16"/>
                <w:szCs w:val="16"/>
                <w:lang w:val="es-CO" w:eastAsia="es-CO"/>
              </w:rPr>
              <w:t xml:space="preserve"> del 17/03/2021</w:t>
            </w:r>
            <w:r w:rsidRPr="008036C3">
              <w:rPr>
                <w:rFonts w:asciiTheme="minorHAnsi" w:hAnsiTheme="minorHAnsi" w:cstheme="minorHAnsi"/>
                <w:bCs/>
                <w:sz w:val="16"/>
                <w:szCs w:val="16"/>
                <w:lang w:val="es-CO" w:eastAsia="es-CO"/>
              </w:rPr>
              <w:t>.</w:t>
            </w:r>
          </w:p>
          <w:p w14:paraId="40F54E52" w14:textId="77777777" w:rsidR="004E0062" w:rsidRDefault="004E0062" w:rsidP="00667485">
            <w:pPr>
              <w:rPr>
                <w:rFonts w:asciiTheme="minorHAnsi" w:hAnsiTheme="minorHAnsi" w:cstheme="minorHAnsi"/>
                <w:bCs/>
                <w:sz w:val="16"/>
                <w:szCs w:val="16"/>
                <w:lang w:val="es-CO" w:eastAsia="es-CO"/>
              </w:rPr>
            </w:pPr>
          </w:p>
          <w:p w14:paraId="219DD97C" w14:textId="32624528" w:rsidR="004E0062" w:rsidRPr="006B487D" w:rsidRDefault="004E0062" w:rsidP="006B487D">
            <w:pPr>
              <w:rPr>
                <w:rFonts w:asciiTheme="minorHAnsi" w:hAnsiTheme="minorHAnsi" w:cstheme="minorHAnsi"/>
                <w:i/>
                <w:sz w:val="16"/>
                <w:szCs w:val="16"/>
                <w:lang w:val="es-CO" w:eastAsia="es-CO"/>
              </w:rPr>
            </w:pPr>
            <w:r>
              <w:rPr>
                <w:rFonts w:asciiTheme="minorHAnsi" w:hAnsiTheme="minorHAnsi" w:cstheme="minorHAnsi"/>
                <w:sz w:val="16"/>
                <w:szCs w:val="16"/>
                <w:lang w:val="es-CO" w:eastAsia="es-CO"/>
              </w:rPr>
              <w:t xml:space="preserve">La STP informa que </w:t>
            </w:r>
            <w:r w:rsidRPr="006B487D">
              <w:rPr>
                <w:rFonts w:asciiTheme="minorHAnsi" w:hAnsiTheme="minorHAnsi" w:cstheme="minorHAnsi"/>
                <w:i/>
                <w:sz w:val="16"/>
                <w:szCs w:val="16"/>
                <w:lang w:val="es-CO" w:eastAsia="es-CO"/>
              </w:rPr>
              <w:t>“Mediante memorando radicados con los números 42533 del 5 de febrero y 60853 del 18 de febrero de 2021, se reportó los ingresos percibidos por concepto de contraprestación de acuerdo con los conceptos previstos en los contratos de Concesión en ejecución.</w:t>
            </w:r>
          </w:p>
          <w:p w14:paraId="55CBCA45" w14:textId="597664C2" w:rsidR="004E0062" w:rsidRPr="000B0F0A" w:rsidRDefault="004E0062" w:rsidP="006B487D">
            <w:pPr>
              <w:rPr>
                <w:rFonts w:asciiTheme="minorHAnsi" w:hAnsiTheme="minorHAnsi" w:cstheme="minorHAnsi"/>
                <w:sz w:val="16"/>
                <w:szCs w:val="16"/>
                <w:lang w:val="es-CO" w:eastAsia="es-CO"/>
              </w:rPr>
            </w:pPr>
            <w:r w:rsidRPr="006B487D">
              <w:rPr>
                <w:rFonts w:asciiTheme="minorHAnsi" w:hAnsiTheme="minorHAnsi" w:cstheme="minorHAnsi"/>
                <w:i/>
                <w:sz w:val="16"/>
                <w:szCs w:val="16"/>
                <w:lang w:val="es-CO" w:eastAsia="es-CO"/>
              </w:rPr>
              <w:t xml:space="preserve">Igualmente se realizó reunión con el área de Tesorería y Contabilidad con el fin de conciliar y aclara </w:t>
            </w:r>
            <w:r>
              <w:rPr>
                <w:rFonts w:asciiTheme="minorHAnsi" w:hAnsiTheme="minorHAnsi" w:cstheme="minorHAnsi"/>
                <w:iCs/>
                <w:sz w:val="16"/>
                <w:szCs w:val="16"/>
                <w:lang w:val="es-CO" w:eastAsia="es-CO"/>
              </w:rPr>
              <w:t xml:space="preserve">[sic] </w:t>
            </w:r>
            <w:r w:rsidRPr="006B487D">
              <w:rPr>
                <w:rFonts w:asciiTheme="minorHAnsi" w:hAnsiTheme="minorHAnsi" w:cstheme="minorHAnsi"/>
                <w:i/>
                <w:sz w:val="16"/>
                <w:szCs w:val="16"/>
                <w:lang w:val="es-CO" w:eastAsia="es-CO"/>
              </w:rPr>
              <w:t>cifras reportadas (anexa pantallazo de evidencia).”</w:t>
            </w:r>
          </w:p>
        </w:tc>
        <w:tc>
          <w:tcPr>
            <w:tcW w:w="3969" w:type="dxa"/>
            <w:vMerge/>
            <w:tcBorders>
              <w:left w:val="nil"/>
              <w:bottom w:val="single" w:sz="4" w:space="0" w:color="auto"/>
              <w:right w:val="single" w:sz="4" w:space="0" w:color="auto"/>
            </w:tcBorders>
            <w:shd w:val="clear" w:color="auto" w:fill="auto"/>
            <w:noWrap/>
            <w:vAlign w:val="center"/>
          </w:tcPr>
          <w:p w14:paraId="061B9827" w14:textId="77777777" w:rsidR="004E0062" w:rsidRPr="000B0F0A" w:rsidRDefault="004E0062" w:rsidP="00ED72C2">
            <w:pPr>
              <w:jc w:val="left"/>
              <w:rPr>
                <w:rFonts w:asciiTheme="minorHAnsi" w:hAnsiTheme="minorHAnsi" w:cstheme="minorHAnsi"/>
                <w:sz w:val="16"/>
                <w:szCs w:val="16"/>
                <w:lang w:val="es-CO" w:eastAsia="es-CO"/>
              </w:rPr>
            </w:pPr>
          </w:p>
        </w:tc>
      </w:tr>
      <w:tr w:rsidR="009B353E" w:rsidRPr="000B0F0A" w14:paraId="29B5BCB9" w14:textId="77777777" w:rsidTr="00A55D37">
        <w:trPr>
          <w:trHeight w:val="2488"/>
        </w:trPr>
        <w:tc>
          <w:tcPr>
            <w:tcW w:w="317" w:type="dxa"/>
            <w:vMerge w:val="restart"/>
            <w:tcBorders>
              <w:top w:val="nil"/>
              <w:left w:val="single" w:sz="4" w:space="0" w:color="auto"/>
              <w:right w:val="single" w:sz="4" w:space="0" w:color="auto"/>
            </w:tcBorders>
            <w:shd w:val="clear" w:color="auto" w:fill="auto"/>
            <w:vAlign w:val="center"/>
            <w:hideMark/>
          </w:tcPr>
          <w:p w14:paraId="0D51FBBA" w14:textId="77777777" w:rsidR="009B353E" w:rsidRPr="000B0F0A" w:rsidRDefault="009B353E"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17</w:t>
            </w:r>
          </w:p>
        </w:tc>
        <w:tc>
          <w:tcPr>
            <w:tcW w:w="954" w:type="dxa"/>
            <w:vMerge w:val="restart"/>
            <w:tcBorders>
              <w:top w:val="nil"/>
              <w:left w:val="nil"/>
              <w:right w:val="single" w:sz="4" w:space="0" w:color="auto"/>
            </w:tcBorders>
            <w:shd w:val="clear" w:color="auto" w:fill="auto"/>
            <w:vAlign w:val="center"/>
            <w:hideMark/>
          </w:tcPr>
          <w:p w14:paraId="1D32CCC3" w14:textId="77777777" w:rsidR="009B353E" w:rsidRPr="000B0F0A" w:rsidRDefault="009B353E"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Bienes recibidos o entregados en administración</w:t>
            </w:r>
          </w:p>
        </w:tc>
        <w:tc>
          <w:tcPr>
            <w:tcW w:w="3969" w:type="dxa"/>
            <w:vMerge w:val="restart"/>
            <w:tcBorders>
              <w:top w:val="nil"/>
              <w:left w:val="nil"/>
              <w:right w:val="single" w:sz="4" w:space="0" w:color="auto"/>
            </w:tcBorders>
            <w:shd w:val="clear" w:color="auto" w:fill="auto"/>
            <w:noWrap/>
            <w:vAlign w:val="center"/>
            <w:hideMark/>
          </w:tcPr>
          <w:p w14:paraId="40E6258A" w14:textId="77777777" w:rsidR="009B353E" w:rsidRPr="00A50838" w:rsidRDefault="009B353E" w:rsidP="00ED72C2">
            <w:pPr>
              <w:suppressAutoHyphens w:val="0"/>
              <w:autoSpaceDN/>
              <w:textAlignment w:val="auto"/>
              <w:rPr>
                <w:rFonts w:asciiTheme="minorHAnsi" w:hAnsiTheme="minorHAnsi" w:cstheme="minorHAnsi"/>
                <w:i/>
                <w:sz w:val="16"/>
                <w:szCs w:val="16"/>
                <w:lang w:val="es-CO" w:eastAsia="es-CO"/>
              </w:rPr>
            </w:pPr>
            <w:r w:rsidRPr="00A50838">
              <w:rPr>
                <w:rFonts w:asciiTheme="minorHAnsi" w:hAnsiTheme="minorHAnsi" w:cstheme="minorHAnsi"/>
                <w:i/>
                <w:sz w:val="16"/>
                <w:szCs w:val="16"/>
                <w:lang w:val="es-CO" w:eastAsia="es-CO"/>
              </w:rPr>
              <w:t>Enviar a Contabilidad, informe detallado de los bienes (muebles e inmuebles) recibidos o entregados a otras entidades públicas o empresas privadas, adjuntando las actas de recibo o de entrega de los bienes, cuando esto ocurra.</w:t>
            </w:r>
          </w:p>
        </w:tc>
        <w:tc>
          <w:tcPr>
            <w:tcW w:w="3544" w:type="dxa"/>
            <w:vMerge w:val="restart"/>
            <w:tcBorders>
              <w:top w:val="nil"/>
              <w:left w:val="nil"/>
              <w:right w:val="single" w:sz="4" w:space="0" w:color="auto"/>
            </w:tcBorders>
            <w:shd w:val="clear" w:color="auto" w:fill="auto"/>
            <w:vAlign w:val="center"/>
            <w:hideMark/>
          </w:tcPr>
          <w:p w14:paraId="71C4EE45" w14:textId="77777777" w:rsidR="00A55D37" w:rsidRDefault="00A55D37" w:rsidP="009E195B">
            <w:pPr>
              <w:suppressAutoHyphens w:val="0"/>
              <w:autoSpaceDN/>
              <w:spacing w:after="240"/>
              <w:textAlignment w:val="auto"/>
              <w:rPr>
                <w:rFonts w:asciiTheme="minorHAnsi" w:hAnsiTheme="minorHAnsi" w:cstheme="minorHAnsi"/>
                <w:color w:val="000000"/>
                <w:sz w:val="16"/>
                <w:szCs w:val="16"/>
                <w:lang w:val="es-CO" w:eastAsia="es-CO"/>
              </w:rPr>
            </w:pPr>
          </w:p>
          <w:p w14:paraId="523E002A" w14:textId="77777777" w:rsidR="00A55D37" w:rsidRDefault="009B353E" w:rsidP="009E195B">
            <w:pPr>
              <w:suppressAutoHyphens w:val="0"/>
              <w:autoSpaceDN/>
              <w:spacing w:after="240"/>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t>7.4.2.</w:t>
            </w:r>
            <w:r w:rsidRPr="000B0F0A">
              <w:rPr>
                <w:rFonts w:asciiTheme="minorHAnsi" w:hAnsiTheme="minorHAnsi" w:cstheme="minorHAnsi"/>
                <w:b/>
                <w:bCs/>
                <w:color w:val="000000"/>
                <w:sz w:val="16"/>
                <w:szCs w:val="16"/>
                <w:lang w:val="es-CO" w:eastAsia="es-CO"/>
              </w:rPr>
              <w:t xml:space="preserve"> Controles Administrativos-Actividades de cierre al Final del Período Contable:</w:t>
            </w:r>
            <w:r w:rsidRPr="000B0F0A">
              <w:rPr>
                <w:rFonts w:asciiTheme="minorHAnsi" w:hAnsiTheme="minorHAnsi" w:cstheme="minorHAnsi"/>
                <w:color w:val="000000"/>
                <w:sz w:val="16"/>
                <w:szCs w:val="16"/>
                <w:lang w:val="es-CO" w:eastAsia="es-CO"/>
              </w:rPr>
              <w:t xml:space="preserve"> "...Las actividades a desarrollar deben contemplar entre otros los siguientes aspectos: cierre de compras y presupuesto, recibo a satisfacción de bienes y servicios, reconocimiento de derechos…"</w:t>
            </w:r>
            <w:r w:rsidRPr="000B0F0A">
              <w:rPr>
                <w:rFonts w:asciiTheme="minorHAnsi" w:hAnsiTheme="minorHAnsi" w:cstheme="minorHAnsi"/>
                <w:color w:val="000000"/>
                <w:sz w:val="16"/>
                <w:szCs w:val="16"/>
                <w:lang w:val="es-CO" w:eastAsia="es-CO"/>
              </w:rPr>
              <w:br/>
            </w:r>
          </w:p>
          <w:p w14:paraId="407B42BD" w14:textId="600514F6" w:rsidR="00A55D37" w:rsidRDefault="009B353E" w:rsidP="009E195B">
            <w:pPr>
              <w:suppressAutoHyphens w:val="0"/>
              <w:autoSpaceDN/>
              <w:spacing w:after="240"/>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br/>
              <w:t>12.12.5 Transferencias: "Las transferencias se entienden como recursos monetarios o no monetarios recibidos de terceros en razón de: recursos entregados por otra entidad pública, donaciones, condonaciones o toma</w:t>
            </w:r>
            <w:r w:rsidRPr="000B0F0A">
              <w:rPr>
                <w:rFonts w:asciiTheme="minorHAnsi" w:hAnsiTheme="minorHAnsi" w:cstheme="minorHAnsi"/>
                <w:color w:val="000000"/>
                <w:sz w:val="16"/>
                <w:szCs w:val="16"/>
                <w:lang w:val="es-CO" w:eastAsia="es-CO"/>
              </w:rPr>
              <w:br/>
              <w:t>de obligaciones por parte de terceros, bienes declarados a favor de la Nación, entre otros."</w:t>
            </w:r>
            <w:r w:rsidRPr="000B0F0A">
              <w:rPr>
                <w:rFonts w:asciiTheme="minorHAnsi" w:hAnsiTheme="minorHAnsi" w:cstheme="minorHAnsi"/>
                <w:color w:val="000000"/>
                <w:sz w:val="16"/>
                <w:szCs w:val="16"/>
                <w:lang w:val="es-CO" w:eastAsia="es-CO"/>
              </w:rPr>
              <w:br/>
            </w:r>
          </w:p>
          <w:p w14:paraId="3E01FBA8" w14:textId="7B5ACD3A" w:rsidR="00A55D37" w:rsidRDefault="00A55D37" w:rsidP="009E195B">
            <w:pPr>
              <w:suppressAutoHyphens w:val="0"/>
              <w:autoSpaceDN/>
              <w:spacing w:after="240"/>
              <w:textAlignment w:val="auto"/>
              <w:rPr>
                <w:rFonts w:asciiTheme="minorHAnsi" w:hAnsiTheme="minorHAnsi" w:cstheme="minorHAnsi"/>
                <w:color w:val="000000"/>
                <w:sz w:val="16"/>
                <w:szCs w:val="16"/>
                <w:lang w:val="es-CO" w:eastAsia="es-CO"/>
              </w:rPr>
            </w:pPr>
          </w:p>
          <w:p w14:paraId="65802F71" w14:textId="7CB95399" w:rsidR="00A55D37" w:rsidRDefault="00A55D37" w:rsidP="009E195B">
            <w:pPr>
              <w:suppressAutoHyphens w:val="0"/>
              <w:autoSpaceDN/>
              <w:spacing w:after="240"/>
              <w:textAlignment w:val="auto"/>
              <w:rPr>
                <w:rFonts w:asciiTheme="minorHAnsi" w:hAnsiTheme="minorHAnsi" w:cstheme="minorHAnsi"/>
                <w:color w:val="000000"/>
                <w:sz w:val="16"/>
                <w:szCs w:val="16"/>
                <w:lang w:val="es-CO" w:eastAsia="es-CO"/>
              </w:rPr>
            </w:pPr>
          </w:p>
          <w:p w14:paraId="583AEAA9" w14:textId="41F91177" w:rsidR="009B353E" w:rsidRPr="000B0F0A" w:rsidRDefault="009B353E" w:rsidP="009E195B">
            <w:pPr>
              <w:suppressAutoHyphens w:val="0"/>
              <w:autoSpaceDN/>
              <w:spacing w:after="240"/>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lastRenderedPageBreak/>
              <w:br/>
              <w:t>12.5.3.3 Bienes Entregados a Terceros: " El IDRD deberá registrar en las subcuentas de propiedades, planta y equipo, los bienes muebles que entregue a terceros mediante contrato de comodato u otro acto administrativo, si los mismos no cumplen con las características de activo, para la entidad que los recibe; el registro se realizará de manera detallada de tal forma que permita la identificación de los bienes objeto de estas entregas. Esta situación deberá describirse en las revelaciones".</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br/>
              <w:t>12.6.7. Revelaciones</w:t>
            </w:r>
            <w:r w:rsidRPr="000B0F0A">
              <w:rPr>
                <w:rFonts w:asciiTheme="minorHAnsi" w:hAnsiTheme="minorHAnsi" w:cstheme="minorHAnsi"/>
                <w:color w:val="000000"/>
                <w:sz w:val="16"/>
                <w:szCs w:val="16"/>
                <w:lang w:val="es-CO" w:eastAsia="es-CO"/>
              </w:rPr>
              <w:br/>
            </w:r>
            <w:r w:rsidRPr="000B0F0A">
              <w:rPr>
                <w:rFonts w:asciiTheme="minorHAnsi" w:hAnsiTheme="minorHAnsi" w:cstheme="minorHAnsi"/>
                <w:color w:val="000000"/>
                <w:sz w:val="16"/>
                <w:szCs w:val="16"/>
                <w:lang w:val="es-CO" w:eastAsia="es-CO"/>
              </w:rPr>
              <w:br/>
              <w:t>El Instituto Distrital de Recreación y Deporte - IDRD, revela información sobre los siguientes aspectos:</w:t>
            </w:r>
            <w:r w:rsidRPr="000B0F0A">
              <w:rPr>
                <w:rFonts w:asciiTheme="minorHAnsi" w:hAnsiTheme="minorHAnsi" w:cstheme="minorHAnsi"/>
                <w:color w:val="000000"/>
                <w:sz w:val="16"/>
                <w:szCs w:val="16"/>
                <w:lang w:val="es-CO" w:eastAsia="es-CO"/>
              </w:rPr>
              <w:br/>
              <w:t>-El valor en libros de los bienes de uso público entregados en como</w:t>
            </w:r>
            <w:r>
              <w:rPr>
                <w:rFonts w:asciiTheme="minorHAnsi" w:hAnsiTheme="minorHAnsi" w:cstheme="minorHAnsi"/>
                <w:color w:val="000000"/>
                <w:sz w:val="16"/>
                <w:szCs w:val="16"/>
                <w:lang w:val="es-CO" w:eastAsia="es-CO"/>
              </w:rPr>
              <w:t>dato.</w:t>
            </w:r>
          </w:p>
        </w:tc>
        <w:tc>
          <w:tcPr>
            <w:tcW w:w="1276" w:type="dxa"/>
            <w:vMerge w:val="restart"/>
            <w:tcBorders>
              <w:top w:val="nil"/>
              <w:left w:val="nil"/>
              <w:right w:val="single" w:sz="4" w:space="0" w:color="auto"/>
            </w:tcBorders>
            <w:shd w:val="clear" w:color="auto" w:fill="auto"/>
            <w:vAlign w:val="center"/>
            <w:hideMark/>
          </w:tcPr>
          <w:p w14:paraId="674932D4" w14:textId="77777777" w:rsidR="009B353E" w:rsidRPr="000B0F0A" w:rsidRDefault="009B353E"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lastRenderedPageBreak/>
              <w:t>Áreas generadoras de hechos económicos que deban informar</w:t>
            </w:r>
          </w:p>
        </w:tc>
        <w:tc>
          <w:tcPr>
            <w:tcW w:w="1984" w:type="dxa"/>
            <w:vMerge w:val="restart"/>
            <w:tcBorders>
              <w:top w:val="nil"/>
              <w:left w:val="nil"/>
              <w:right w:val="single" w:sz="4" w:space="0" w:color="auto"/>
            </w:tcBorders>
            <w:shd w:val="clear" w:color="auto" w:fill="auto"/>
            <w:vAlign w:val="center"/>
            <w:hideMark/>
          </w:tcPr>
          <w:p w14:paraId="7E2FDC42" w14:textId="77777777" w:rsidR="009B353E" w:rsidRPr="000B0F0A" w:rsidRDefault="009B353E"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En el momento que esto ocurra</w:t>
            </w:r>
          </w:p>
        </w:tc>
        <w:tc>
          <w:tcPr>
            <w:tcW w:w="1559" w:type="dxa"/>
            <w:tcBorders>
              <w:top w:val="nil"/>
              <w:left w:val="nil"/>
              <w:bottom w:val="single" w:sz="4" w:space="0" w:color="auto"/>
              <w:right w:val="single" w:sz="4" w:space="0" w:color="auto"/>
            </w:tcBorders>
            <w:shd w:val="clear" w:color="auto" w:fill="auto"/>
            <w:vAlign w:val="center"/>
            <w:hideMark/>
          </w:tcPr>
          <w:p w14:paraId="13A65C91" w14:textId="6EDCD3C8" w:rsidR="009B353E" w:rsidRDefault="009B353E" w:rsidP="00505A29">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STC</w:t>
            </w:r>
          </w:p>
          <w:p w14:paraId="0D21C9BD" w14:textId="298F02CB" w:rsidR="009B353E" w:rsidRPr="000B0F0A" w:rsidRDefault="009B353E" w:rsidP="00505A29">
            <w:pPr>
              <w:suppressAutoHyphens w:val="0"/>
              <w:autoSpaceDN/>
              <w:jc w:val="center"/>
              <w:textAlignment w:val="auto"/>
              <w:rPr>
                <w:rFonts w:asciiTheme="minorHAnsi" w:hAnsiTheme="minorHAnsi" w:cstheme="minorHAnsi"/>
                <w:sz w:val="16"/>
                <w:szCs w:val="16"/>
                <w:lang w:val="es-CO" w:eastAsia="es-CO"/>
              </w:rPr>
            </w:pPr>
            <w:r w:rsidRPr="00CA7CE6">
              <w:rPr>
                <w:rFonts w:asciiTheme="minorHAnsi" w:hAnsiTheme="minorHAnsi" w:cstheme="minorHAnsi"/>
                <w:sz w:val="16"/>
                <w:szCs w:val="16"/>
                <w:lang w:val="es-CO" w:eastAsia="es-CO"/>
              </w:rPr>
              <w:t>20214000124603</w:t>
            </w:r>
          </w:p>
        </w:tc>
        <w:tc>
          <w:tcPr>
            <w:tcW w:w="993" w:type="dxa"/>
            <w:vMerge w:val="restart"/>
            <w:tcBorders>
              <w:top w:val="single" w:sz="4" w:space="0" w:color="auto"/>
              <w:left w:val="nil"/>
              <w:right w:val="single" w:sz="4" w:space="0" w:color="auto"/>
            </w:tcBorders>
            <w:shd w:val="clear" w:color="auto" w:fill="92D050"/>
            <w:vAlign w:val="center"/>
            <w:hideMark/>
          </w:tcPr>
          <w:p w14:paraId="6ADD1588" w14:textId="77777777" w:rsidR="009B353E" w:rsidRDefault="009B353E"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SÍ</w:t>
            </w:r>
          </w:p>
          <w:p w14:paraId="64451194" w14:textId="63B2FD2F" w:rsidR="009B353E" w:rsidRPr="000B0F0A" w:rsidRDefault="009B353E"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p>
        </w:tc>
        <w:tc>
          <w:tcPr>
            <w:tcW w:w="4110" w:type="dxa"/>
            <w:tcBorders>
              <w:top w:val="nil"/>
              <w:left w:val="nil"/>
              <w:bottom w:val="single" w:sz="4" w:space="0" w:color="auto"/>
              <w:right w:val="single" w:sz="4" w:space="0" w:color="auto"/>
            </w:tcBorders>
            <w:shd w:val="clear" w:color="auto" w:fill="auto"/>
            <w:noWrap/>
            <w:vAlign w:val="center"/>
            <w:hideMark/>
          </w:tcPr>
          <w:p w14:paraId="3BB30753" w14:textId="37D265B6" w:rsidR="009B353E" w:rsidRDefault="009B353E" w:rsidP="00987370">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La STC adjunta la siguiente información:</w:t>
            </w:r>
          </w:p>
          <w:p w14:paraId="7BFDDE59" w14:textId="7177351E" w:rsidR="009B353E" w:rsidRPr="002343EA" w:rsidRDefault="009B353E" w:rsidP="00987370">
            <w:pPr>
              <w:pStyle w:val="Prrafodelista"/>
              <w:numPr>
                <w:ilvl w:val="0"/>
                <w:numId w:val="9"/>
              </w:numPr>
              <w:suppressAutoHyphens w:val="0"/>
              <w:autoSpaceDN/>
              <w:ind w:left="212" w:hanging="212"/>
              <w:textAlignment w:val="auto"/>
              <w:rPr>
                <w:rFonts w:asciiTheme="minorHAnsi" w:hAnsiTheme="minorHAnsi" w:cstheme="minorHAnsi"/>
                <w:sz w:val="16"/>
                <w:szCs w:val="16"/>
                <w:lang w:val="es-CO" w:eastAsia="es-CO"/>
              </w:rPr>
            </w:pPr>
            <w:r w:rsidRPr="002343EA">
              <w:rPr>
                <w:rFonts w:asciiTheme="minorHAnsi" w:hAnsiTheme="minorHAnsi" w:cstheme="minorHAnsi"/>
                <w:sz w:val="16"/>
                <w:szCs w:val="16"/>
                <w:lang w:val="es-CO" w:eastAsia="es-CO"/>
              </w:rPr>
              <w:t>Memo de contabilidad</w:t>
            </w:r>
            <w:r>
              <w:rPr>
                <w:rFonts w:asciiTheme="minorHAnsi" w:hAnsiTheme="minorHAnsi" w:cstheme="minorHAnsi"/>
                <w:sz w:val="16"/>
                <w:szCs w:val="16"/>
                <w:lang w:val="es-CO" w:eastAsia="es-CO"/>
              </w:rPr>
              <w:t xml:space="preserve"> </w:t>
            </w:r>
          </w:p>
          <w:p w14:paraId="2FE6394A" w14:textId="616CC891" w:rsidR="009B353E" w:rsidRPr="002343EA" w:rsidRDefault="009B353E" w:rsidP="00987370">
            <w:pPr>
              <w:pStyle w:val="Prrafodelista"/>
              <w:numPr>
                <w:ilvl w:val="0"/>
                <w:numId w:val="9"/>
              </w:numPr>
              <w:suppressAutoHyphens w:val="0"/>
              <w:autoSpaceDN/>
              <w:ind w:left="212" w:hanging="212"/>
              <w:textAlignment w:val="auto"/>
              <w:rPr>
                <w:rFonts w:asciiTheme="minorHAnsi" w:hAnsiTheme="minorHAnsi" w:cstheme="minorHAnsi"/>
                <w:sz w:val="16"/>
                <w:szCs w:val="16"/>
                <w:lang w:val="es-CO" w:eastAsia="es-CO"/>
              </w:rPr>
            </w:pPr>
            <w:r w:rsidRPr="002343EA">
              <w:rPr>
                <w:rFonts w:asciiTheme="minorHAnsi" w:hAnsiTheme="minorHAnsi" w:cstheme="minorHAnsi"/>
                <w:sz w:val="16"/>
                <w:szCs w:val="16"/>
                <w:lang w:val="es-CO" w:eastAsia="es-CO"/>
              </w:rPr>
              <w:t>Memo STP</w:t>
            </w:r>
          </w:p>
          <w:p w14:paraId="48C04444" w14:textId="0C3F0052" w:rsidR="009B353E" w:rsidRPr="0030216D" w:rsidRDefault="009B353E" w:rsidP="00987370">
            <w:pPr>
              <w:pStyle w:val="Prrafodelista"/>
              <w:numPr>
                <w:ilvl w:val="0"/>
                <w:numId w:val="9"/>
              </w:numPr>
              <w:suppressAutoHyphens w:val="0"/>
              <w:autoSpaceDN/>
              <w:ind w:left="212" w:hanging="212"/>
              <w:textAlignment w:val="auto"/>
              <w:rPr>
                <w:rFonts w:asciiTheme="minorHAnsi" w:hAnsiTheme="minorHAnsi" w:cstheme="minorHAnsi"/>
                <w:sz w:val="16"/>
                <w:szCs w:val="16"/>
                <w:lang w:val="es-CO" w:eastAsia="es-CO"/>
              </w:rPr>
            </w:pPr>
            <w:r w:rsidRPr="002343EA">
              <w:rPr>
                <w:rFonts w:asciiTheme="minorHAnsi" w:hAnsiTheme="minorHAnsi" w:cstheme="minorHAnsi"/>
                <w:sz w:val="16"/>
                <w:szCs w:val="16"/>
                <w:lang w:val="es-CO" w:eastAsia="es-CO"/>
              </w:rPr>
              <w:t>Inmuebles parques Veraguas</w:t>
            </w:r>
          </w:p>
        </w:tc>
        <w:tc>
          <w:tcPr>
            <w:tcW w:w="3969" w:type="dxa"/>
            <w:vMerge w:val="restart"/>
            <w:tcBorders>
              <w:top w:val="single" w:sz="4" w:space="0" w:color="auto"/>
              <w:left w:val="nil"/>
              <w:right w:val="single" w:sz="4" w:space="0" w:color="auto"/>
            </w:tcBorders>
            <w:shd w:val="clear" w:color="auto" w:fill="auto"/>
            <w:noWrap/>
            <w:vAlign w:val="center"/>
            <w:hideMark/>
          </w:tcPr>
          <w:p w14:paraId="4043CBD0" w14:textId="13E2D0BE" w:rsidR="009B353E" w:rsidRDefault="009B353E" w:rsidP="00987370">
            <w:pPr>
              <w:suppressAutoHyphens w:val="0"/>
              <w:autoSpaceDN/>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Con memorando No. 20204100321113 07-oct-2020, la STC remite a Contabilidad ‘Entrega acta de inventario de recibo y entrega de bienes inmu</w:t>
            </w:r>
            <w:r w:rsidR="00A10FAE">
              <w:rPr>
                <w:rFonts w:asciiTheme="minorHAnsi" w:hAnsiTheme="minorHAnsi" w:cstheme="minorHAnsi"/>
                <w:sz w:val="16"/>
                <w:szCs w:val="16"/>
                <w:lang w:val="es-CO" w:eastAsia="es-CO"/>
              </w:rPr>
              <w:t>ebles – Parque zonal Veraguas’.</w:t>
            </w:r>
          </w:p>
          <w:p w14:paraId="3D5E05CA" w14:textId="77777777" w:rsidR="009B353E" w:rsidRDefault="009B353E" w:rsidP="00987370">
            <w:pPr>
              <w:suppressAutoHyphens w:val="0"/>
              <w:autoSpaceDN/>
              <w:textAlignment w:val="auto"/>
              <w:rPr>
                <w:rFonts w:asciiTheme="minorHAnsi" w:hAnsiTheme="minorHAnsi" w:cstheme="minorHAnsi"/>
                <w:sz w:val="16"/>
                <w:szCs w:val="16"/>
                <w:lang w:val="es-CO" w:eastAsia="es-CO"/>
              </w:rPr>
            </w:pPr>
          </w:p>
          <w:p w14:paraId="0CA19921" w14:textId="77777777" w:rsidR="009B353E" w:rsidRDefault="009B353E" w:rsidP="00987370">
            <w:pPr>
              <w:suppressAutoHyphens w:val="0"/>
              <w:autoSpaceDN/>
              <w:textAlignment w:val="auto"/>
              <w:rPr>
                <w:rFonts w:asciiTheme="minorHAnsi" w:hAnsiTheme="minorHAnsi" w:cstheme="minorHAnsi"/>
                <w:sz w:val="16"/>
                <w:szCs w:val="16"/>
                <w:lang w:val="es-CO" w:eastAsia="es-CO"/>
              </w:rPr>
            </w:pPr>
          </w:p>
          <w:p w14:paraId="1307B4F4" w14:textId="7FDE4247" w:rsidR="009B353E" w:rsidRPr="000B0F0A" w:rsidRDefault="009B353E" w:rsidP="00987370">
            <w:pPr>
              <w:suppressAutoHyphens w:val="0"/>
              <w:autoSpaceDN/>
              <w:textAlignment w:val="auto"/>
              <w:rPr>
                <w:rFonts w:asciiTheme="minorHAnsi" w:hAnsiTheme="minorHAnsi" w:cstheme="minorHAnsi"/>
                <w:sz w:val="16"/>
                <w:szCs w:val="16"/>
                <w:lang w:val="es-CO" w:eastAsia="es-CO"/>
              </w:rPr>
            </w:pPr>
          </w:p>
        </w:tc>
      </w:tr>
      <w:tr w:rsidR="009B353E" w:rsidRPr="000B0F0A" w14:paraId="7C9308FA" w14:textId="77777777" w:rsidTr="009B353E">
        <w:trPr>
          <w:trHeight w:val="2675"/>
        </w:trPr>
        <w:tc>
          <w:tcPr>
            <w:tcW w:w="317" w:type="dxa"/>
            <w:vMerge/>
            <w:tcBorders>
              <w:top w:val="nil"/>
              <w:left w:val="single" w:sz="4" w:space="0" w:color="auto"/>
              <w:right w:val="single" w:sz="4" w:space="0" w:color="auto"/>
            </w:tcBorders>
            <w:shd w:val="clear" w:color="auto" w:fill="auto"/>
            <w:vAlign w:val="center"/>
          </w:tcPr>
          <w:p w14:paraId="3B598453" w14:textId="77777777" w:rsidR="009B353E" w:rsidRPr="000B0F0A" w:rsidRDefault="009B353E"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top w:val="nil"/>
              <w:left w:val="nil"/>
              <w:right w:val="single" w:sz="4" w:space="0" w:color="auto"/>
            </w:tcBorders>
            <w:shd w:val="clear" w:color="auto" w:fill="auto"/>
            <w:vAlign w:val="center"/>
          </w:tcPr>
          <w:p w14:paraId="743642B6" w14:textId="77777777" w:rsidR="009B353E" w:rsidRPr="000B0F0A" w:rsidRDefault="009B353E"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top w:val="nil"/>
              <w:left w:val="nil"/>
              <w:right w:val="single" w:sz="4" w:space="0" w:color="auto"/>
            </w:tcBorders>
            <w:shd w:val="clear" w:color="auto" w:fill="auto"/>
            <w:noWrap/>
            <w:vAlign w:val="center"/>
          </w:tcPr>
          <w:p w14:paraId="60AA22CC" w14:textId="77777777" w:rsidR="009B353E" w:rsidRPr="000B0F0A" w:rsidRDefault="009B353E" w:rsidP="00ED72C2">
            <w:pPr>
              <w:suppressAutoHyphens w:val="0"/>
              <w:autoSpaceDN/>
              <w:textAlignment w:val="auto"/>
              <w:rPr>
                <w:rFonts w:asciiTheme="minorHAnsi" w:hAnsiTheme="minorHAnsi" w:cstheme="minorHAnsi"/>
                <w:sz w:val="16"/>
                <w:szCs w:val="16"/>
                <w:lang w:val="es-CO" w:eastAsia="es-CO"/>
              </w:rPr>
            </w:pPr>
          </w:p>
        </w:tc>
        <w:tc>
          <w:tcPr>
            <w:tcW w:w="3544" w:type="dxa"/>
            <w:vMerge/>
            <w:tcBorders>
              <w:top w:val="nil"/>
              <w:left w:val="nil"/>
              <w:right w:val="single" w:sz="4" w:space="0" w:color="auto"/>
            </w:tcBorders>
            <w:shd w:val="clear" w:color="auto" w:fill="auto"/>
            <w:vAlign w:val="center"/>
          </w:tcPr>
          <w:p w14:paraId="7A05CE7D" w14:textId="77777777" w:rsidR="009B353E" w:rsidRPr="000B0F0A" w:rsidRDefault="009B353E" w:rsidP="009E195B">
            <w:pPr>
              <w:suppressAutoHyphens w:val="0"/>
              <w:autoSpaceDN/>
              <w:spacing w:after="240"/>
              <w:textAlignment w:val="auto"/>
              <w:rPr>
                <w:rFonts w:asciiTheme="minorHAnsi" w:hAnsiTheme="minorHAnsi" w:cstheme="minorHAnsi"/>
                <w:color w:val="000000"/>
                <w:sz w:val="16"/>
                <w:szCs w:val="16"/>
                <w:lang w:val="es-CO" w:eastAsia="es-CO"/>
              </w:rPr>
            </w:pPr>
          </w:p>
        </w:tc>
        <w:tc>
          <w:tcPr>
            <w:tcW w:w="1276" w:type="dxa"/>
            <w:vMerge/>
            <w:tcBorders>
              <w:top w:val="nil"/>
              <w:left w:val="nil"/>
              <w:right w:val="single" w:sz="4" w:space="0" w:color="auto"/>
            </w:tcBorders>
            <w:shd w:val="clear" w:color="auto" w:fill="auto"/>
            <w:vAlign w:val="center"/>
          </w:tcPr>
          <w:p w14:paraId="4BCF7E35" w14:textId="77777777" w:rsidR="009B353E" w:rsidRPr="000B0F0A" w:rsidRDefault="009B353E" w:rsidP="00ED72C2">
            <w:pPr>
              <w:suppressAutoHyphens w:val="0"/>
              <w:autoSpaceDN/>
              <w:jc w:val="center"/>
              <w:textAlignment w:val="auto"/>
              <w:rPr>
                <w:rFonts w:asciiTheme="minorHAnsi" w:hAnsiTheme="minorHAnsi" w:cstheme="minorHAnsi"/>
                <w:sz w:val="16"/>
                <w:szCs w:val="16"/>
                <w:lang w:val="es-CO" w:eastAsia="es-CO"/>
              </w:rPr>
            </w:pPr>
          </w:p>
        </w:tc>
        <w:tc>
          <w:tcPr>
            <w:tcW w:w="1984" w:type="dxa"/>
            <w:vMerge/>
            <w:tcBorders>
              <w:top w:val="nil"/>
              <w:left w:val="nil"/>
              <w:right w:val="single" w:sz="4" w:space="0" w:color="auto"/>
            </w:tcBorders>
            <w:shd w:val="clear" w:color="auto" w:fill="auto"/>
            <w:vAlign w:val="center"/>
          </w:tcPr>
          <w:p w14:paraId="72298733" w14:textId="77777777" w:rsidR="009B353E" w:rsidRPr="000B0F0A" w:rsidRDefault="009B353E"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C6CA1B9" w14:textId="6926CA4B" w:rsidR="009B353E" w:rsidRDefault="009B353E" w:rsidP="00CA7CE6">
            <w:pPr>
              <w:suppressAutoHyphens w:val="0"/>
              <w:autoSpaceDN/>
              <w:textAlignment w:val="auto"/>
              <w:rPr>
                <w:rFonts w:asciiTheme="minorHAnsi" w:hAnsiTheme="minorHAnsi" w:cstheme="minorHAnsi"/>
                <w:sz w:val="16"/>
                <w:szCs w:val="16"/>
                <w:lang w:val="es-CO" w:eastAsia="es-CO"/>
              </w:rPr>
            </w:pPr>
          </w:p>
          <w:p w14:paraId="6802F450" w14:textId="77777777" w:rsidR="009B353E" w:rsidRDefault="009B353E" w:rsidP="00505A29">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STP</w:t>
            </w:r>
          </w:p>
          <w:p w14:paraId="3E34A876" w14:textId="09F71C9E" w:rsidR="009B353E" w:rsidRDefault="009B353E" w:rsidP="00505A29">
            <w:pPr>
              <w:suppressAutoHyphens w:val="0"/>
              <w:autoSpaceDN/>
              <w:jc w:val="center"/>
              <w:textAlignment w:val="auto"/>
              <w:rPr>
                <w:rFonts w:asciiTheme="minorHAnsi" w:hAnsiTheme="minorHAnsi" w:cstheme="minorHAnsi"/>
                <w:sz w:val="16"/>
                <w:szCs w:val="16"/>
                <w:lang w:val="es-CO" w:eastAsia="es-CO"/>
              </w:rPr>
            </w:pPr>
            <w:r w:rsidRPr="00A64017">
              <w:rPr>
                <w:rFonts w:asciiTheme="minorHAnsi" w:hAnsiTheme="minorHAnsi" w:cstheme="minorHAnsi"/>
                <w:sz w:val="16"/>
                <w:szCs w:val="16"/>
                <w:lang w:val="es-CO" w:eastAsia="es-CO"/>
              </w:rPr>
              <w:t>20216200126483</w:t>
            </w:r>
          </w:p>
        </w:tc>
        <w:tc>
          <w:tcPr>
            <w:tcW w:w="993" w:type="dxa"/>
            <w:vMerge/>
            <w:tcBorders>
              <w:left w:val="nil"/>
              <w:bottom w:val="single" w:sz="4" w:space="0" w:color="auto"/>
              <w:right w:val="single" w:sz="4" w:space="0" w:color="auto"/>
            </w:tcBorders>
            <w:shd w:val="clear" w:color="auto" w:fill="92D050"/>
            <w:vAlign w:val="center"/>
          </w:tcPr>
          <w:p w14:paraId="052F974E" w14:textId="77777777" w:rsidR="009B353E" w:rsidRPr="000B0F0A" w:rsidRDefault="009B353E" w:rsidP="00ED72C2">
            <w:pPr>
              <w:suppressAutoHyphens w:val="0"/>
              <w:autoSpaceDN/>
              <w:jc w:val="center"/>
              <w:textAlignment w:val="auto"/>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0DCC360C" w14:textId="162739BB" w:rsidR="009B353E" w:rsidRPr="008556C9" w:rsidRDefault="009B353E" w:rsidP="008556C9">
            <w:pPr>
              <w:suppressAutoHyphens w:val="0"/>
              <w:autoSpaceDE w:val="0"/>
              <w:adjustRightInd w:val="0"/>
              <w:textAlignment w:val="auto"/>
              <w:rPr>
                <w:rFonts w:asciiTheme="minorHAnsi" w:hAnsiTheme="minorHAnsi" w:cstheme="minorHAnsi"/>
                <w:i/>
                <w:sz w:val="16"/>
                <w:szCs w:val="16"/>
                <w:lang w:val="es-CO" w:eastAsia="es-CO"/>
              </w:rPr>
            </w:pPr>
            <w:r>
              <w:rPr>
                <w:rFonts w:asciiTheme="minorHAnsi" w:hAnsiTheme="minorHAnsi" w:cstheme="minorHAnsi"/>
                <w:sz w:val="16"/>
                <w:szCs w:val="16"/>
                <w:lang w:val="es-CO" w:eastAsia="es-CO"/>
              </w:rPr>
              <w:t xml:space="preserve">La STP informa </w:t>
            </w:r>
            <w:r w:rsidRPr="008556C9">
              <w:rPr>
                <w:rFonts w:asciiTheme="minorHAnsi" w:hAnsiTheme="minorHAnsi" w:cstheme="minorHAnsi"/>
                <w:i/>
                <w:sz w:val="16"/>
                <w:szCs w:val="16"/>
                <w:lang w:val="es-CO" w:eastAsia="es-CO"/>
              </w:rPr>
              <w:t>que “En el periodo entre el 20 de noviembre de 2020 y febrero de 2021 no se realizó entrega ni</w:t>
            </w:r>
            <w:r>
              <w:rPr>
                <w:rFonts w:asciiTheme="minorHAnsi" w:hAnsiTheme="minorHAnsi" w:cstheme="minorHAnsi"/>
                <w:i/>
                <w:sz w:val="16"/>
                <w:szCs w:val="16"/>
                <w:lang w:val="es-CO" w:eastAsia="es-CO"/>
              </w:rPr>
              <w:t xml:space="preserve"> </w:t>
            </w:r>
            <w:r w:rsidRPr="008556C9">
              <w:rPr>
                <w:rFonts w:asciiTheme="minorHAnsi" w:hAnsiTheme="minorHAnsi" w:cstheme="minorHAnsi"/>
                <w:i/>
                <w:sz w:val="16"/>
                <w:szCs w:val="16"/>
                <w:lang w:val="es-CO" w:eastAsia="es-CO"/>
              </w:rPr>
              <w:t>recibo de bienes muebles e inmuebles a otras entidades públicas o a empresas privadas.”</w:t>
            </w:r>
          </w:p>
        </w:tc>
        <w:tc>
          <w:tcPr>
            <w:tcW w:w="3969" w:type="dxa"/>
            <w:vMerge/>
            <w:tcBorders>
              <w:left w:val="nil"/>
              <w:bottom w:val="single" w:sz="4" w:space="0" w:color="auto"/>
              <w:right w:val="single" w:sz="4" w:space="0" w:color="auto"/>
            </w:tcBorders>
            <w:shd w:val="clear" w:color="auto" w:fill="auto"/>
            <w:noWrap/>
            <w:vAlign w:val="center"/>
          </w:tcPr>
          <w:p w14:paraId="6E42325D" w14:textId="77777777" w:rsidR="009B353E" w:rsidRPr="000B0F0A" w:rsidRDefault="009B353E" w:rsidP="00ED72C2">
            <w:pPr>
              <w:suppressAutoHyphens w:val="0"/>
              <w:autoSpaceDN/>
              <w:jc w:val="left"/>
              <w:textAlignment w:val="auto"/>
              <w:rPr>
                <w:rFonts w:asciiTheme="minorHAnsi" w:hAnsiTheme="minorHAnsi" w:cstheme="minorHAnsi"/>
                <w:sz w:val="16"/>
                <w:szCs w:val="16"/>
                <w:lang w:val="es-CO" w:eastAsia="es-CO"/>
              </w:rPr>
            </w:pPr>
          </w:p>
        </w:tc>
      </w:tr>
      <w:tr w:rsidR="009E195B" w:rsidRPr="000B0F0A" w14:paraId="1467F6FF" w14:textId="77777777" w:rsidTr="002E7A9D">
        <w:trPr>
          <w:trHeight w:val="3025"/>
        </w:trPr>
        <w:tc>
          <w:tcPr>
            <w:tcW w:w="317" w:type="dxa"/>
            <w:vMerge/>
            <w:tcBorders>
              <w:top w:val="nil"/>
              <w:left w:val="single" w:sz="4" w:space="0" w:color="auto"/>
              <w:bottom w:val="single" w:sz="4" w:space="0" w:color="auto"/>
              <w:right w:val="single" w:sz="4" w:space="0" w:color="auto"/>
            </w:tcBorders>
            <w:shd w:val="clear" w:color="auto" w:fill="auto"/>
            <w:vAlign w:val="center"/>
          </w:tcPr>
          <w:p w14:paraId="19C9D926" w14:textId="77777777" w:rsidR="009E195B" w:rsidRPr="000B0F0A" w:rsidRDefault="009E195B"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top w:val="nil"/>
              <w:left w:val="nil"/>
              <w:bottom w:val="single" w:sz="4" w:space="0" w:color="auto"/>
              <w:right w:val="single" w:sz="4" w:space="0" w:color="auto"/>
            </w:tcBorders>
            <w:shd w:val="clear" w:color="auto" w:fill="auto"/>
            <w:vAlign w:val="center"/>
          </w:tcPr>
          <w:p w14:paraId="6F9C4B70" w14:textId="77777777" w:rsidR="009E195B" w:rsidRPr="000B0F0A" w:rsidRDefault="009E195B"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top w:val="nil"/>
              <w:left w:val="nil"/>
              <w:bottom w:val="single" w:sz="4" w:space="0" w:color="auto"/>
              <w:right w:val="single" w:sz="4" w:space="0" w:color="auto"/>
            </w:tcBorders>
            <w:shd w:val="clear" w:color="auto" w:fill="auto"/>
            <w:noWrap/>
            <w:vAlign w:val="center"/>
          </w:tcPr>
          <w:p w14:paraId="5A06F036" w14:textId="77777777" w:rsidR="009E195B" w:rsidRPr="000B0F0A" w:rsidRDefault="009E195B" w:rsidP="00ED72C2">
            <w:pPr>
              <w:suppressAutoHyphens w:val="0"/>
              <w:autoSpaceDN/>
              <w:textAlignment w:val="auto"/>
              <w:rPr>
                <w:rFonts w:asciiTheme="minorHAnsi" w:hAnsiTheme="minorHAnsi" w:cstheme="minorHAnsi"/>
                <w:sz w:val="16"/>
                <w:szCs w:val="16"/>
                <w:lang w:val="es-CO" w:eastAsia="es-CO"/>
              </w:rPr>
            </w:pPr>
          </w:p>
        </w:tc>
        <w:tc>
          <w:tcPr>
            <w:tcW w:w="3544" w:type="dxa"/>
            <w:vMerge/>
            <w:tcBorders>
              <w:top w:val="nil"/>
              <w:left w:val="nil"/>
              <w:bottom w:val="single" w:sz="4" w:space="0" w:color="auto"/>
              <w:right w:val="single" w:sz="4" w:space="0" w:color="auto"/>
            </w:tcBorders>
            <w:shd w:val="clear" w:color="auto" w:fill="auto"/>
            <w:vAlign w:val="center"/>
          </w:tcPr>
          <w:p w14:paraId="573A3071" w14:textId="77777777" w:rsidR="009E195B" w:rsidRPr="000B0F0A" w:rsidRDefault="009E195B" w:rsidP="009E195B">
            <w:pPr>
              <w:suppressAutoHyphens w:val="0"/>
              <w:autoSpaceDN/>
              <w:spacing w:after="240"/>
              <w:textAlignment w:val="auto"/>
              <w:rPr>
                <w:rFonts w:asciiTheme="minorHAnsi" w:hAnsiTheme="minorHAnsi" w:cstheme="minorHAnsi"/>
                <w:color w:val="000000"/>
                <w:sz w:val="16"/>
                <w:szCs w:val="16"/>
                <w:lang w:val="es-CO" w:eastAsia="es-CO"/>
              </w:rPr>
            </w:pPr>
          </w:p>
        </w:tc>
        <w:tc>
          <w:tcPr>
            <w:tcW w:w="1276" w:type="dxa"/>
            <w:vMerge/>
            <w:tcBorders>
              <w:top w:val="nil"/>
              <w:left w:val="nil"/>
              <w:bottom w:val="single" w:sz="4" w:space="0" w:color="auto"/>
              <w:right w:val="single" w:sz="4" w:space="0" w:color="auto"/>
            </w:tcBorders>
            <w:shd w:val="clear" w:color="auto" w:fill="auto"/>
            <w:vAlign w:val="center"/>
          </w:tcPr>
          <w:p w14:paraId="6E613D4F" w14:textId="77777777" w:rsidR="009E195B" w:rsidRPr="000B0F0A" w:rsidRDefault="009E195B" w:rsidP="00ED72C2">
            <w:pPr>
              <w:suppressAutoHyphens w:val="0"/>
              <w:autoSpaceDN/>
              <w:jc w:val="center"/>
              <w:textAlignment w:val="auto"/>
              <w:rPr>
                <w:rFonts w:asciiTheme="minorHAnsi" w:hAnsiTheme="minorHAnsi" w:cstheme="minorHAnsi"/>
                <w:sz w:val="16"/>
                <w:szCs w:val="16"/>
                <w:lang w:val="es-CO" w:eastAsia="es-CO"/>
              </w:rPr>
            </w:pPr>
          </w:p>
        </w:tc>
        <w:tc>
          <w:tcPr>
            <w:tcW w:w="1984" w:type="dxa"/>
            <w:vMerge/>
            <w:tcBorders>
              <w:top w:val="nil"/>
              <w:left w:val="nil"/>
              <w:bottom w:val="single" w:sz="4" w:space="0" w:color="auto"/>
              <w:right w:val="single" w:sz="4" w:space="0" w:color="auto"/>
            </w:tcBorders>
            <w:shd w:val="clear" w:color="auto" w:fill="auto"/>
            <w:vAlign w:val="center"/>
          </w:tcPr>
          <w:p w14:paraId="2379ECDF" w14:textId="77777777" w:rsidR="009E195B" w:rsidRPr="000B0F0A" w:rsidRDefault="009E195B" w:rsidP="00ED72C2">
            <w:pPr>
              <w:suppressAutoHyphens w:val="0"/>
              <w:autoSpaceDN/>
              <w:jc w:val="center"/>
              <w:textAlignment w:val="auto"/>
              <w:rPr>
                <w:rFonts w:asciiTheme="minorHAnsi" w:hAnsiTheme="minorHAnsi" w:cstheme="minorHAnsi"/>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08754B9" w14:textId="77777777" w:rsidR="009E195B" w:rsidRDefault="009E195B" w:rsidP="00505A29">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STRD</w:t>
            </w:r>
          </w:p>
          <w:p w14:paraId="1780F384" w14:textId="2129F3FC" w:rsidR="00505A29" w:rsidRDefault="002E7A9D" w:rsidP="00505A29">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Sin respuesta</w:t>
            </w:r>
          </w:p>
        </w:tc>
        <w:tc>
          <w:tcPr>
            <w:tcW w:w="993" w:type="dxa"/>
            <w:tcBorders>
              <w:top w:val="single" w:sz="4" w:space="0" w:color="auto"/>
              <w:left w:val="nil"/>
              <w:bottom w:val="single" w:sz="4" w:space="0" w:color="auto"/>
              <w:right w:val="single" w:sz="4" w:space="0" w:color="auto"/>
            </w:tcBorders>
            <w:shd w:val="clear" w:color="auto" w:fill="auto"/>
            <w:vAlign w:val="center"/>
          </w:tcPr>
          <w:p w14:paraId="490AD3E3" w14:textId="77777777" w:rsidR="009E195B" w:rsidRPr="000B0F0A" w:rsidRDefault="009E195B" w:rsidP="00ED72C2">
            <w:pPr>
              <w:suppressAutoHyphens w:val="0"/>
              <w:autoSpaceDN/>
              <w:jc w:val="center"/>
              <w:textAlignment w:val="auto"/>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3F6F8980" w14:textId="77777777" w:rsidR="009E195B" w:rsidRPr="000B0F0A" w:rsidRDefault="009E195B" w:rsidP="00ED72C2">
            <w:pPr>
              <w:suppressAutoHyphens w:val="0"/>
              <w:autoSpaceDN/>
              <w:jc w:val="left"/>
              <w:textAlignment w:val="auto"/>
              <w:rPr>
                <w:rFonts w:asciiTheme="minorHAnsi" w:hAnsiTheme="minorHAnsi" w:cstheme="minorHAnsi"/>
                <w:sz w:val="16"/>
                <w:szCs w:val="16"/>
                <w:lang w:val="es-CO" w:eastAsia="es-CO"/>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4FACBC4" w14:textId="66AD11D3" w:rsidR="009E195B" w:rsidRPr="004F047E" w:rsidRDefault="009B353E" w:rsidP="00987370">
            <w:pPr>
              <w:suppressAutoHyphens w:val="0"/>
              <w:autoSpaceDN/>
              <w:textAlignment w:val="auto"/>
              <w:rPr>
                <w:rFonts w:asciiTheme="minorHAnsi" w:hAnsiTheme="minorHAnsi" w:cstheme="minorHAnsi"/>
                <w:bCs/>
                <w:sz w:val="16"/>
                <w:szCs w:val="16"/>
                <w:lang w:val="es-CO" w:eastAsia="es-CO"/>
              </w:rPr>
            </w:pPr>
            <w:r w:rsidRPr="002E7A9D">
              <w:rPr>
                <w:rFonts w:asciiTheme="minorHAnsi" w:hAnsiTheme="minorHAnsi" w:cstheme="minorHAnsi"/>
                <w:bCs/>
                <w:sz w:val="16"/>
                <w:szCs w:val="16"/>
                <w:lang w:val="es-CO" w:eastAsia="es-CO"/>
              </w:rPr>
              <w:t>La STRD no dio respuesta al requerimiento de información presentado por la Oficina de Control Interno con el memorando 20211500110583 del 17-mar-2021</w:t>
            </w:r>
            <w:r w:rsidR="002E7A9D" w:rsidRPr="002E7A9D">
              <w:rPr>
                <w:rFonts w:asciiTheme="minorHAnsi" w:hAnsiTheme="minorHAnsi" w:cstheme="minorHAnsi"/>
                <w:bCs/>
                <w:sz w:val="16"/>
                <w:szCs w:val="16"/>
                <w:lang w:val="es-CO" w:eastAsia="es-CO"/>
              </w:rPr>
              <w:t xml:space="preserve"> ni a la reiteración de solicitud No. 20211500145353 del 16-abr-2021</w:t>
            </w:r>
            <w:r w:rsidRPr="004F047E">
              <w:rPr>
                <w:rFonts w:asciiTheme="minorHAnsi" w:hAnsiTheme="minorHAnsi" w:cstheme="minorHAnsi"/>
                <w:bCs/>
                <w:color w:val="FF0000"/>
                <w:sz w:val="16"/>
                <w:szCs w:val="16"/>
                <w:lang w:val="es-CO" w:eastAsia="es-CO"/>
              </w:rPr>
              <w:t>.</w:t>
            </w:r>
          </w:p>
        </w:tc>
      </w:tr>
      <w:tr w:rsidR="004F047E" w:rsidRPr="000B0F0A" w14:paraId="429393F0" w14:textId="77777777" w:rsidTr="004F047E">
        <w:trPr>
          <w:trHeight w:val="1504"/>
        </w:trPr>
        <w:tc>
          <w:tcPr>
            <w:tcW w:w="317" w:type="dxa"/>
            <w:vMerge w:val="restart"/>
            <w:tcBorders>
              <w:top w:val="nil"/>
              <w:left w:val="single" w:sz="4" w:space="0" w:color="auto"/>
              <w:right w:val="single" w:sz="4" w:space="0" w:color="auto"/>
            </w:tcBorders>
            <w:shd w:val="clear" w:color="auto" w:fill="auto"/>
            <w:vAlign w:val="center"/>
            <w:hideMark/>
          </w:tcPr>
          <w:p w14:paraId="3C15D502" w14:textId="77777777" w:rsidR="004F047E" w:rsidRPr="000B0F0A" w:rsidRDefault="004F047E"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18</w:t>
            </w:r>
          </w:p>
        </w:tc>
        <w:tc>
          <w:tcPr>
            <w:tcW w:w="954" w:type="dxa"/>
            <w:vMerge w:val="restart"/>
            <w:tcBorders>
              <w:top w:val="nil"/>
              <w:left w:val="nil"/>
              <w:right w:val="single" w:sz="4" w:space="0" w:color="auto"/>
            </w:tcBorders>
            <w:shd w:val="clear" w:color="auto" w:fill="auto"/>
            <w:vAlign w:val="center"/>
            <w:hideMark/>
          </w:tcPr>
          <w:p w14:paraId="2C99725D" w14:textId="77777777" w:rsidR="004F047E" w:rsidRPr="000B0F0A" w:rsidRDefault="004F047E"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Información</w:t>
            </w:r>
            <w:r w:rsidRPr="000B0F0A">
              <w:rPr>
                <w:rFonts w:asciiTheme="minorHAnsi" w:hAnsiTheme="minorHAnsi" w:cstheme="minorHAnsi"/>
                <w:sz w:val="16"/>
                <w:szCs w:val="16"/>
                <w:lang w:val="es-CO" w:eastAsia="es-CO"/>
              </w:rPr>
              <w:br/>
              <w:t>Exógena</w:t>
            </w:r>
          </w:p>
        </w:tc>
        <w:tc>
          <w:tcPr>
            <w:tcW w:w="3969" w:type="dxa"/>
            <w:vMerge w:val="restart"/>
            <w:tcBorders>
              <w:top w:val="nil"/>
              <w:left w:val="nil"/>
              <w:right w:val="single" w:sz="4" w:space="0" w:color="auto"/>
            </w:tcBorders>
            <w:shd w:val="clear" w:color="auto" w:fill="auto"/>
            <w:hideMark/>
          </w:tcPr>
          <w:p w14:paraId="15C51BF3" w14:textId="3CD6FF5C" w:rsidR="004F047E" w:rsidRPr="000B0F0A" w:rsidRDefault="004F047E" w:rsidP="00ED72C2">
            <w:pPr>
              <w:suppressAutoHyphens w:val="0"/>
              <w:autoSpaceDN/>
              <w:spacing w:after="240"/>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br/>
              <w:t>1.Enviar a Contabilidad anualmente. el formato debidamente diligenciado, relacionando los pagos laborales realizados al personal de planta, por concepto de sueldos, primas, vacaciones, cesantías, intereses y cualquier otro concepto, que se haya pagado en el año fiscal inmediatamente anterior, relacionando nombre y cédula de ciudadanía de acuerdo a las Resoluciones expedidas por la DIAN.</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2.Enviar a  Contabilidad el formato debidamente diligenciado, relacionando la información solicitada por la Dirección de Impuestos Distritales por parte, de la Subdirección de Contratación.</w:t>
            </w:r>
          </w:p>
        </w:tc>
        <w:tc>
          <w:tcPr>
            <w:tcW w:w="3544" w:type="dxa"/>
            <w:vMerge w:val="restart"/>
            <w:tcBorders>
              <w:top w:val="nil"/>
              <w:left w:val="nil"/>
              <w:right w:val="single" w:sz="4" w:space="0" w:color="auto"/>
            </w:tcBorders>
            <w:shd w:val="clear" w:color="auto" w:fill="auto"/>
            <w:vAlign w:val="center"/>
            <w:hideMark/>
          </w:tcPr>
          <w:p w14:paraId="45CDFBAA" w14:textId="77777777" w:rsidR="004F047E" w:rsidRPr="000B0F0A" w:rsidRDefault="004F047E" w:rsidP="009E195B">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t xml:space="preserve">14.4 </w:t>
            </w:r>
            <w:r w:rsidRPr="000B0F0A">
              <w:rPr>
                <w:rFonts w:asciiTheme="minorHAnsi" w:hAnsiTheme="minorHAnsi" w:cstheme="minorHAnsi"/>
                <w:b/>
                <w:bCs/>
                <w:color w:val="000000"/>
                <w:sz w:val="16"/>
                <w:szCs w:val="16"/>
                <w:lang w:val="es-CO" w:eastAsia="es-CO"/>
              </w:rPr>
              <w:t>Finalidad De Los Estados Financieros:</w:t>
            </w:r>
            <w:r w:rsidRPr="000B0F0A">
              <w:rPr>
                <w:rFonts w:asciiTheme="minorHAnsi" w:hAnsiTheme="minorHAnsi" w:cstheme="minorHAnsi"/>
                <w:b/>
                <w:bCs/>
                <w:color w:val="000000"/>
                <w:sz w:val="16"/>
                <w:szCs w:val="16"/>
                <w:lang w:val="es-CO" w:eastAsia="es-CO"/>
              </w:rPr>
              <w:br/>
            </w:r>
            <w:r w:rsidRPr="000B0F0A">
              <w:rPr>
                <w:rFonts w:asciiTheme="minorHAnsi" w:hAnsiTheme="minorHAnsi" w:cstheme="minorHAnsi"/>
                <w:b/>
                <w:bCs/>
                <w:color w:val="000000"/>
                <w:sz w:val="16"/>
                <w:szCs w:val="16"/>
                <w:lang w:val="es-CO" w:eastAsia="es-CO"/>
              </w:rPr>
              <w:br/>
              <w:t>“(..</w:t>
            </w:r>
            <w:r w:rsidRPr="000B0F0A">
              <w:rPr>
                <w:rFonts w:asciiTheme="minorHAnsi" w:hAnsiTheme="minorHAnsi" w:cstheme="minorHAnsi"/>
                <w:color w:val="000000"/>
                <w:sz w:val="16"/>
                <w:szCs w:val="16"/>
                <w:lang w:val="es-CO" w:eastAsia="es-CO"/>
              </w:rPr>
              <w:t>)Los estados financieros también constituyen un medio para la rendición de cuentas por los recursos que le han sido confiados y pueden ser utilizados como un instrumento de carácter predictivo o proyectivo en relación con los recursos requeridos, los recursos generados en el giro normal de la operación y los riesgos e incertidumbres asociados a estos.”</w:t>
            </w:r>
          </w:p>
        </w:tc>
        <w:tc>
          <w:tcPr>
            <w:tcW w:w="1276" w:type="dxa"/>
            <w:tcBorders>
              <w:top w:val="nil"/>
              <w:left w:val="nil"/>
              <w:bottom w:val="single" w:sz="4" w:space="0" w:color="auto"/>
              <w:right w:val="single" w:sz="4" w:space="0" w:color="auto"/>
            </w:tcBorders>
            <w:shd w:val="clear" w:color="auto" w:fill="auto"/>
            <w:vAlign w:val="center"/>
            <w:hideMark/>
          </w:tcPr>
          <w:p w14:paraId="0A3C800E" w14:textId="30867931" w:rsidR="004F047E" w:rsidRPr="000B0F0A" w:rsidRDefault="004F047E"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Nómina</w:t>
            </w:r>
          </w:p>
        </w:tc>
        <w:tc>
          <w:tcPr>
            <w:tcW w:w="1984" w:type="dxa"/>
            <w:tcBorders>
              <w:top w:val="nil"/>
              <w:left w:val="nil"/>
              <w:bottom w:val="single" w:sz="4" w:space="0" w:color="auto"/>
              <w:right w:val="single" w:sz="4" w:space="0" w:color="auto"/>
            </w:tcBorders>
            <w:shd w:val="clear" w:color="auto" w:fill="auto"/>
            <w:vAlign w:val="center"/>
            <w:hideMark/>
          </w:tcPr>
          <w:p w14:paraId="4E093DA7" w14:textId="3F08D60F" w:rsidR="004F047E" w:rsidRPr="000B0F0A" w:rsidRDefault="004F047E"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Anualmente</w:t>
            </w:r>
          </w:p>
        </w:tc>
        <w:tc>
          <w:tcPr>
            <w:tcW w:w="1559" w:type="dxa"/>
            <w:tcBorders>
              <w:top w:val="nil"/>
              <w:left w:val="nil"/>
              <w:bottom w:val="single" w:sz="4" w:space="0" w:color="auto"/>
              <w:right w:val="single" w:sz="4" w:space="0" w:color="auto"/>
            </w:tcBorders>
            <w:shd w:val="clear" w:color="auto" w:fill="auto"/>
            <w:vAlign w:val="center"/>
            <w:hideMark/>
          </w:tcPr>
          <w:p w14:paraId="538EFBB8" w14:textId="0FA518DE" w:rsidR="004F047E" w:rsidRPr="000B0F0A" w:rsidRDefault="00505A29"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20213000124263</w:t>
            </w:r>
          </w:p>
        </w:tc>
        <w:tc>
          <w:tcPr>
            <w:tcW w:w="993" w:type="dxa"/>
            <w:vMerge w:val="restart"/>
            <w:tcBorders>
              <w:top w:val="single" w:sz="4" w:space="0" w:color="auto"/>
              <w:left w:val="nil"/>
              <w:right w:val="single" w:sz="4" w:space="0" w:color="auto"/>
            </w:tcBorders>
            <w:shd w:val="clear" w:color="auto" w:fill="92D050"/>
            <w:vAlign w:val="center"/>
            <w:hideMark/>
          </w:tcPr>
          <w:p w14:paraId="66FD2F17" w14:textId="77777777" w:rsidR="004F047E" w:rsidRDefault="004F047E"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SÍ</w:t>
            </w:r>
          </w:p>
          <w:p w14:paraId="2F5BA9B2" w14:textId="78CB4CEB" w:rsidR="004F047E" w:rsidRPr="000B0F0A" w:rsidRDefault="004F047E"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p>
        </w:tc>
        <w:tc>
          <w:tcPr>
            <w:tcW w:w="4110" w:type="dxa"/>
            <w:tcBorders>
              <w:top w:val="nil"/>
              <w:left w:val="nil"/>
              <w:bottom w:val="single" w:sz="4" w:space="0" w:color="auto"/>
              <w:right w:val="single" w:sz="4" w:space="0" w:color="auto"/>
            </w:tcBorders>
            <w:shd w:val="clear" w:color="auto" w:fill="auto"/>
            <w:noWrap/>
            <w:vAlign w:val="center"/>
            <w:hideMark/>
          </w:tcPr>
          <w:p w14:paraId="5EF172D9" w14:textId="77777777" w:rsidR="004F047E" w:rsidRPr="004F047E" w:rsidRDefault="004F047E" w:rsidP="004F047E">
            <w:pPr>
              <w:suppressAutoHyphens w:val="0"/>
              <w:autoSpaceDN/>
              <w:textAlignment w:val="auto"/>
              <w:rPr>
                <w:rFonts w:asciiTheme="minorHAnsi" w:hAnsiTheme="minorHAnsi" w:cstheme="minorHAnsi"/>
                <w:bCs/>
                <w:i/>
                <w:iCs/>
                <w:sz w:val="16"/>
                <w:szCs w:val="16"/>
                <w:lang w:val="es-CO" w:eastAsia="es-CO"/>
              </w:rPr>
            </w:pPr>
            <w:r w:rsidRPr="004F047E">
              <w:rPr>
                <w:rFonts w:asciiTheme="minorHAnsi" w:hAnsiTheme="minorHAnsi" w:cstheme="minorHAnsi"/>
                <w:bCs/>
                <w:sz w:val="16"/>
                <w:szCs w:val="16"/>
                <w:lang w:val="es-CO" w:eastAsia="es-CO"/>
              </w:rPr>
              <w:t xml:space="preserve">La SAF (Talento Humano) informa que </w:t>
            </w:r>
            <w:r w:rsidRPr="004F047E">
              <w:rPr>
                <w:rFonts w:asciiTheme="minorHAnsi" w:hAnsiTheme="minorHAnsi" w:cstheme="minorHAnsi"/>
                <w:bCs/>
                <w:i/>
                <w:iCs/>
                <w:sz w:val="16"/>
                <w:szCs w:val="16"/>
                <w:lang w:val="es-CO" w:eastAsia="es-CO"/>
              </w:rPr>
              <w:t xml:space="preserve">“Se anexa la información correspondiente a los reportes de información exógena, así: </w:t>
            </w:r>
          </w:p>
          <w:p w14:paraId="12DC0E71" w14:textId="77777777" w:rsidR="004F047E" w:rsidRPr="004F047E" w:rsidRDefault="004F047E" w:rsidP="004F047E">
            <w:pPr>
              <w:suppressAutoHyphens w:val="0"/>
              <w:autoSpaceDN/>
              <w:textAlignment w:val="auto"/>
              <w:rPr>
                <w:rFonts w:asciiTheme="minorHAnsi" w:hAnsiTheme="minorHAnsi" w:cstheme="minorHAnsi"/>
                <w:bCs/>
                <w:i/>
                <w:iCs/>
                <w:sz w:val="16"/>
                <w:szCs w:val="16"/>
                <w:lang w:val="es-CO" w:eastAsia="es-CO"/>
              </w:rPr>
            </w:pPr>
            <w:r w:rsidRPr="004F047E">
              <w:rPr>
                <w:rFonts w:asciiTheme="minorHAnsi" w:hAnsiTheme="minorHAnsi" w:cstheme="minorHAnsi"/>
                <w:bCs/>
                <w:i/>
                <w:iCs/>
                <w:sz w:val="16"/>
                <w:szCs w:val="16"/>
                <w:lang w:val="es-CO" w:eastAsia="es-CO"/>
              </w:rPr>
              <w:sym w:font="Symbol" w:char="F0B7"/>
            </w:r>
            <w:r w:rsidRPr="004F047E">
              <w:rPr>
                <w:rFonts w:asciiTheme="minorHAnsi" w:hAnsiTheme="minorHAnsi" w:cstheme="minorHAnsi"/>
                <w:bCs/>
                <w:i/>
                <w:iCs/>
                <w:sz w:val="16"/>
                <w:szCs w:val="16"/>
                <w:lang w:val="es-CO" w:eastAsia="es-CO"/>
              </w:rPr>
              <w:t xml:space="preserve"> Formato información exógena vigencia 2019 </w:t>
            </w:r>
          </w:p>
          <w:p w14:paraId="6A89E20F" w14:textId="6FCFD2EF" w:rsidR="004F047E" w:rsidRPr="004F047E" w:rsidRDefault="004F047E" w:rsidP="004F047E">
            <w:pPr>
              <w:suppressAutoHyphens w:val="0"/>
              <w:autoSpaceDN/>
              <w:textAlignment w:val="auto"/>
              <w:rPr>
                <w:rFonts w:asciiTheme="minorHAnsi" w:hAnsiTheme="minorHAnsi" w:cstheme="minorHAnsi"/>
                <w:sz w:val="16"/>
                <w:szCs w:val="16"/>
                <w:lang w:val="es-CO" w:eastAsia="es-CO"/>
              </w:rPr>
            </w:pPr>
            <w:r w:rsidRPr="004F047E">
              <w:rPr>
                <w:rFonts w:asciiTheme="minorHAnsi" w:hAnsiTheme="minorHAnsi" w:cstheme="minorHAnsi"/>
                <w:bCs/>
                <w:i/>
                <w:iCs/>
                <w:sz w:val="16"/>
                <w:szCs w:val="16"/>
                <w:lang w:val="es-CO" w:eastAsia="es-CO"/>
              </w:rPr>
              <w:sym w:font="Symbol" w:char="F0B7"/>
            </w:r>
            <w:r w:rsidRPr="004F047E">
              <w:rPr>
                <w:rFonts w:asciiTheme="minorHAnsi" w:hAnsiTheme="minorHAnsi" w:cstheme="minorHAnsi"/>
                <w:bCs/>
                <w:i/>
                <w:iCs/>
                <w:sz w:val="16"/>
                <w:szCs w:val="16"/>
                <w:lang w:val="es-CO" w:eastAsia="es-CO"/>
              </w:rPr>
              <w:t xml:space="preserve"> Correo remitido al área de Contabilidad del Formato información exógena vigencia 2019”</w:t>
            </w:r>
          </w:p>
        </w:tc>
        <w:tc>
          <w:tcPr>
            <w:tcW w:w="3969" w:type="dxa"/>
            <w:vMerge w:val="restart"/>
            <w:tcBorders>
              <w:top w:val="nil"/>
              <w:left w:val="nil"/>
              <w:right w:val="single" w:sz="4" w:space="0" w:color="auto"/>
            </w:tcBorders>
            <w:shd w:val="clear" w:color="auto" w:fill="auto"/>
            <w:noWrap/>
            <w:vAlign w:val="center"/>
            <w:hideMark/>
          </w:tcPr>
          <w:p w14:paraId="6BA360C4" w14:textId="243CD9FD" w:rsidR="004F047E" w:rsidRPr="004F047E" w:rsidRDefault="004F047E" w:rsidP="004F047E">
            <w:pPr>
              <w:suppressAutoHyphens w:val="0"/>
              <w:autoSpaceDN/>
              <w:textAlignment w:val="auto"/>
              <w:rPr>
                <w:rFonts w:asciiTheme="minorHAnsi" w:hAnsiTheme="minorHAnsi" w:cstheme="minorHAnsi"/>
                <w:bCs/>
                <w:sz w:val="16"/>
                <w:szCs w:val="16"/>
                <w:lang w:val="es-CO" w:eastAsia="es-CO"/>
              </w:rPr>
            </w:pPr>
            <w:r w:rsidRPr="004F047E">
              <w:rPr>
                <w:rFonts w:asciiTheme="minorHAnsi" w:hAnsiTheme="minorHAnsi" w:cstheme="minorHAnsi"/>
                <w:bCs/>
                <w:sz w:val="16"/>
                <w:szCs w:val="16"/>
                <w:lang w:val="es-CO" w:eastAsia="es-CO"/>
              </w:rPr>
              <w:t>Se evidenció, con resultados satisfactorios,</w:t>
            </w:r>
            <w:r w:rsidR="00A10FAE">
              <w:rPr>
                <w:rFonts w:asciiTheme="minorHAnsi" w:hAnsiTheme="minorHAnsi" w:cstheme="minorHAnsi"/>
                <w:bCs/>
                <w:sz w:val="16"/>
                <w:szCs w:val="16"/>
                <w:lang w:val="es-CO" w:eastAsia="es-CO"/>
              </w:rPr>
              <w:t xml:space="preserve"> que la SAF y SC</w:t>
            </w:r>
            <w:r w:rsidRPr="004F047E">
              <w:rPr>
                <w:rFonts w:asciiTheme="minorHAnsi" w:hAnsiTheme="minorHAnsi" w:cstheme="minorHAnsi"/>
                <w:bCs/>
                <w:sz w:val="16"/>
                <w:szCs w:val="16"/>
                <w:lang w:val="es-CO" w:eastAsia="es-CO"/>
              </w:rPr>
              <w:t xml:space="preserve"> remiten a Contabilidad la información requerida en la actividad del Plan de Sostenibilidad Contable para efectos de presentación</w:t>
            </w:r>
            <w:r>
              <w:rPr>
                <w:rFonts w:asciiTheme="minorHAnsi" w:hAnsiTheme="minorHAnsi" w:cstheme="minorHAnsi"/>
                <w:bCs/>
                <w:sz w:val="16"/>
                <w:szCs w:val="16"/>
                <w:lang w:val="es-CO" w:eastAsia="es-CO"/>
              </w:rPr>
              <w:t xml:space="preserve"> </w:t>
            </w:r>
            <w:r w:rsidRPr="004F047E">
              <w:rPr>
                <w:rFonts w:asciiTheme="minorHAnsi" w:hAnsiTheme="minorHAnsi" w:cstheme="minorHAnsi"/>
                <w:bCs/>
                <w:sz w:val="16"/>
                <w:szCs w:val="16"/>
                <w:lang w:val="es-CO" w:eastAsia="es-CO"/>
              </w:rPr>
              <w:t>de información exógena.</w:t>
            </w:r>
          </w:p>
          <w:p w14:paraId="00745BFD" w14:textId="77777777" w:rsidR="004F047E" w:rsidRPr="004F047E" w:rsidRDefault="004F047E" w:rsidP="004F047E">
            <w:pPr>
              <w:suppressAutoHyphens w:val="0"/>
              <w:autoSpaceDN/>
              <w:textAlignment w:val="auto"/>
              <w:rPr>
                <w:rFonts w:asciiTheme="minorHAnsi" w:hAnsiTheme="minorHAnsi" w:cstheme="minorHAnsi"/>
                <w:bCs/>
                <w:sz w:val="16"/>
                <w:szCs w:val="16"/>
                <w:lang w:val="es-CO" w:eastAsia="es-CO"/>
              </w:rPr>
            </w:pPr>
          </w:p>
          <w:p w14:paraId="46B255D5" w14:textId="376841A3" w:rsidR="004F047E" w:rsidRPr="004F047E" w:rsidRDefault="004F047E" w:rsidP="004F047E">
            <w:pPr>
              <w:suppressAutoHyphens w:val="0"/>
              <w:autoSpaceDN/>
              <w:textAlignment w:val="auto"/>
              <w:rPr>
                <w:rFonts w:asciiTheme="minorHAnsi" w:hAnsiTheme="minorHAnsi" w:cstheme="minorHAnsi"/>
                <w:bCs/>
                <w:sz w:val="16"/>
                <w:szCs w:val="16"/>
                <w:lang w:val="es-CO" w:eastAsia="es-CO"/>
              </w:rPr>
            </w:pPr>
            <w:r w:rsidRPr="004F047E">
              <w:rPr>
                <w:rFonts w:asciiTheme="minorHAnsi" w:hAnsiTheme="minorHAnsi" w:cstheme="minorHAnsi"/>
                <w:bCs/>
                <w:sz w:val="16"/>
                <w:szCs w:val="16"/>
                <w:lang w:val="es-CO" w:eastAsia="es-CO"/>
              </w:rPr>
              <w:t>Por lo anterior, se da cumplimiento a la misma.</w:t>
            </w:r>
          </w:p>
        </w:tc>
      </w:tr>
      <w:tr w:rsidR="004F047E" w:rsidRPr="000B0F0A" w14:paraId="573DC1CA" w14:textId="77777777" w:rsidTr="00987370">
        <w:trPr>
          <w:trHeight w:val="1796"/>
        </w:trPr>
        <w:tc>
          <w:tcPr>
            <w:tcW w:w="317" w:type="dxa"/>
            <w:vMerge/>
            <w:tcBorders>
              <w:left w:val="single" w:sz="4" w:space="0" w:color="auto"/>
              <w:bottom w:val="single" w:sz="4" w:space="0" w:color="auto"/>
              <w:right w:val="single" w:sz="4" w:space="0" w:color="auto"/>
            </w:tcBorders>
            <w:shd w:val="clear" w:color="auto" w:fill="auto"/>
            <w:vAlign w:val="center"/>
          </w:tcPr>
          <w:p w14:paraId="0A2D0B90" w14:textId="77777777" w:rsidR="004F047E" w:rsidRPr="000B0F0A" w:rsidRDefault="004F047E" w:rsidP="00ED72C2">
            <w:pPr>
              <w:suppressAutoHyphens w:val="0"/>
              <w:autoSpaceDN/>
              <w:jc w:val="center"/>
              <w:textAlignment w:val="auto"/>
              <w:rPr>
                <w:rFonts w:asciiTheme="minorHAnsi" w:hAnsiTheme="minorHAnsi" w:cstheme="minorHAnsi"/>
                <w:sz w:val="16"/>
                <w:szCs w:val="16"/>
                <w:lang w:val="es-CO" w:eastAsia="es-CO"/>
              </w:rPr>
            </w:pPr>
          </w:p>
        </w:tc>
        <w:tc>
          <w:tcPr>
            <w:tcW w:w="954" w:type="dxa"/>
            <w:vMerge/>
            <w:tcBorders>
              <w:left w:val="nil"/>
              <w:bottom w:val="single" w:sz="4" w:space="0" w:color="auto"/>
              <w:right w:val="single" w:sz="4" w:space="0" w:color="auto"/>
            </w:tcBorders>
            <w:shd w:val="clear" w:color="auto" w:fill="auto"/>
            <w:vAlign w:val="center"/>
          </w:tcPr>
          <w:p w14:paraId="7D215758" w14:textId="77777777" w:rsidR="004F047E" w:rsidRPr="000B0F0A" w:rsidRDefault="004F047E" w:rsidP="00ED72C2">
            <w:pPr>
              <w:suppressAutoHyphens w:val="0"/>
              <w:autoSpaceDN/>
              <w:jc w:val="center"/>
              <w:textAlignment w:val="auto"/>
              <w:rPr>
                <w:rFonts w:asciiTheme="minorHAnsi" w:hAnsiTheme="minorHAnsi" w:cstheme="minorHAnsi"/>
                <w:sz w:val="16"/>
                <w:szCs w:val="16"/>
                <w:lang w:val="es-CO" w:eastAsia="es-CO"/>
              </w:rPr>
            </w:pPr>
          </w:p>
        </w:tc>
        <w:tc>
          <w:tcPr>
            <w:tcW w:w="3969" w:type="dxa"/>
            <w:vMerge/>
            <w:tcBorders>
              <w:left w:val="nil"/>
              <w:bottom w:val="single" w:sz="4" w:space="0" w:color="auto"/>
              <w:right w:val="single" w:sz="4" w:space="0" w:color="auto"/>
            </w:tcBorders>
            <w:shd w:val="clear" w:color="auto" w:fill="auto"/>
          </w:tcPr>
          <w:p w14:paraId="0320C87A" w14:textId="77777777" w:rsidR="004F047E" w:rsidRPr="000B0F0A" w:rsidRDefault="004F047E" w:rsidP="00ED72C2">
            <w:pPr>
              <w:suppressAutoHyphens w:val="0"/>
              <w:autoSpaceDN/>
              <w:spacing w:after="240"/>
              <w:textAlignment w:val="auto"/>
              <w:rPr>
                <w:rFonts w:asciiTheme="minorHAnsi" w:hAnsiTheme="minorHAnsi" w:cstheme="minorHAnsi"/>
                <w:sz w:val="16"/>
                <w:szCs w:val="16"/>
                <w:lang w:val="es-CO" w:eastAsia="es-CO"/>
              </w:rPr>
            </w:pPr>
          </w:p>
        </w:tc>
        <w:tc>
          <w:tcPr>
            <w:tcW w:w="3544" w:type="dxa"/>
            <w:vMerge/>
            <w:tcBorders>
              <w:left w:val="nil"/>
              <w:bottom w:val="single" w:sz="4" w:space="0" w:color="auto"/>
              <w:right w:val="single" w:sz="4" w:space="0" w:color="auto"/>
            </w:tcBorders>
            <w:shd w:val="clear" w:color="auto" w:fill="auto"/>
            <w:vAlign w:val="center"/>
          </w:tcPr>
          <w:p w14:paraId="1BB7AD64" w14:textId="77777777" w:rsidR="004F047E" w:rsidRPr="000B0F0A" w:rsidRDefault="004F047E" w:rsidP="009E195B">
            <w:pPr>
              <w:suppressAutoHyphens w:val="0"/>
              <w:autoSpaceDN/>
              <w:textAlignment w:val="auto"/>
              <w:rPr>
                <w:rFonts w:asciiTheme="minorHAnsi" w:hAnsiTheme="minorHAnsi" w:cstheme="minorHAnsi"/>
                <w:color w:val="000000"/>
                <w:sz w:val="16"/>
                <w:szCs w:val="16"/>
                <w:lang w:val="es-CO" w:eastAsia="es-C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0838A3A" w14:textId="0F253F78" w:rsidR="004F047E" w:rsidRDefault="004F047E" w:rsidP="00ED72C2">
            <w:pPr>
              <w:jc w:val="center"/>
              <w:rPr>
                <w:rFonts w:asciiTheme="minorHAnsi" w:hAnsiTheme="minorHAnsi" w:cstheme="minorHAnsi"/>
                <w:sz w:val="16"/>
                <w:szCs w:val="16"/>
                <w:lang w:val="es-CO" w:eastAsia="es-CO"/>
              </w:rPr>
            </w:pPr>
            <w:r>
              <w:rPr>
                <w:rFonts w:asciiTheme="minorHAnsi" w:hAnsiTheme="minorHAnsi" w:cstheme="minorHAnsi"/>
                <w:sz w:val="16"/>
                <w:szCs w:val="16"/>
                <w:lang w:val="es-CO" w:eastAsia="es-CO"/>
              </w:rPr>
              <w:t>Contratación</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5ACD0F" w14:textId="40CED8D6" w:rsidR="004F047E" w:rsidRPr="000B0F0A" w:rsidRDefault="004F047E" w:rsidP="00ED72C2">
            <w:pPr>
              <w:jc w:val="center"/>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Mensualmente y Semestralmente para el caso de los impuestos distritales</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960D7" w14:textId="242A4B88" w:rsidR="004F047E" w:rsidRPr="000B0F0A" w:rsidRDefault="004F047E" w:rsidP="00ED72C2">
            <w:pPr>
              <w:jc w:val="center"/>
              <w:rPr>
                <w:rFonts w:asciiTheme="minorHAnsi" w:hAnsiTheme="minorHAnsi" w:cstheme="minorHAnsi"/>
                <w:sz w:val="16"/>
                <w:szCs w:val="16"/>
                <w:lang w:val="es-CO" w:eastAsia="es-CO"/>
              </w:rPr>
            </w:pPr>
            <w:r w:rsidRPr="00424E6F">
              <w:rPr>
                <w:rFonts w:asciiTheme="minorHAnsi" w:hAnsiTheme="minorHAnsi" w:cstheme="minorHAnsi"/>
                <w:sz w:val="16"/>
                <w:szCs w:val="16"/>
                <w:lang w:val="es-CO" w:eastAsia="es-CO"/>
              </w:rPr>
              <w:t>20218000127553</w:t>
            </w:r>
          </w:p>
        </w:tc>
        <w:tc>
          <w:tcPr>
            <w:tcW w:w="993" w:type="dxa"/>
            <w:vMerge/>
            <w:tcBorders>
              <w:left w:val="nil"/>
              <w:bottom w:val="single" w:sz="4" w:space="0" w:color="auto"/>
              <w:right w:val="single" w:sz="4" w:space="0" w:color="auto"/>
            </w:tcBorders>
            <w:shd w:val="clear" w:color="auto" w:fill="92D050"/>
            <w:vAlign w:val="center"/>
          </w:tcPr>
          <w:p w14:paraId="3284C7E9" w14:textId="77777777" w:rsidR="004F047E" w:rsidRPr="000B0F0A" w:rsidRDefault="004F047E" w:rsidP="00ED72C2">
            <w:pPr>
              <w:jc w:val="center"/>
              <w:rPr>
                <w:rFonts w:asciiTheme="minorHAnsi" w:hAnsiTheme="minorHAnsi" w:cstheme="minorHAnsi"/>
                <w:sz w:val="16"/>
                <w:szCs w:val="16"/>
                <w:lang w:val="es-CO" w:eastAsia="es-CO"/>
              </w:rPr>
            </w:pP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2AF616A4" w14:textId="67944BF1" w:rsidR="004F047E" w:rsidRPr="00424E6F" w:rsidRDefault="004F047E" w:rsidP="00424E6F">
            <w:pPr>
              <w:rPr>
                <w:rFonts w:asciiTheme="minorHAnsi" w:hAnsiTheme="minorHAnsi" w:cstheme="minorHAnsi"/>
                <w:bCs/>
                <w:i/>
                <w:sz w:val="16"/>
                <w:szCs w:val="16"/>
                <w:lang w:val="es-CO" w:eastAsia="es-CO"/>
              </w:rPr>
            </w:pPr>
            <w:r w:rsidRPr="00424E6F">
              <w:rPr>
                <w:rFonts w:asciiTheme="minorHAnsi" w:hAnsiTheme="minorHAnsi" w:cstheme="minorHAnsi"/>
                <w:bCs/>
                <w:sz w:val="16"/>
                <w:szCs w:val="16"/>
                <w:lang w:val="es-CO" w:eastAsia="es-CO"/>
              </w:rPr>
              <w:t>La Sub</w:t>
            </w:r>
            <w:r>
              <w:rPr>
                <w:rFonts w:asciiTheme="minorHAnsi" w:hAnsiTheme="minorHAnsi" w:cstheme="minorHAnsi"/>
                <w:bCs/>
                <w:sz w:val="16"/>
                <w:szCs w:val="16"/>
                <w:lang w:val="es-CO" w:eastAsia="es-CO"/>
              </w:rPr>
              <w:t xml:space="preserve">dirección de contratación informa que </w:t>
            </w:r>
            <w:r w:rsidRPr="00424E6F">
              <w:rPr>
                <w:rFonts w:asciiTheme="minorHAnsi" w:hAnsiTheme="minorHAnsi" w:cstheme="minorHAnsi"/>
                <w:bCs/>
                <w:i/>
                <w:sz w:val="16"/>
                <w:szCs w:val="16"/>
                <w:lang w:val="es-CO" w:eastAsia="es-CO"/>
              </w:rPr>
              <w:t>“remite</w:t>
            </w:r>
            <w:r>
              <w:rPr>
                <w:rFonts w:asciiTheme="minorHAnsi" w:hAnsiTheme="minorHAnsi" w:cstheme="minorHAnsi"/>
                <w:bCs/>
                <w:i/>
                <w:sz w:val="16"/>
                <w:szCs w:val="16"/>
                <w:lang w:val="es-CO" w:eastAsia="es-CO"/>
              </w:rPr>
              <w:t xml:space="preserve"> </w:t>
            </w:r>
            <w:r w:rsidRPr="00424E6F">
              <w:rPr>
                <w:rFonts w:asciiTheme="minorHAnsi" w:hAnsiTheme="minorHAnsi" w:cstheme="minorHAnsi"/>
                <w:bCs/>
                <w:i/>
                <w:sz w:val="16"/>
                <w:szCs w:val="16"/>
                <w:lang w:val="es-CO" w:eastAsia="es-CO"/>
              </w:rPr>
              <w:t>periódicamente mediante correo electrónico al área de contabilidad, la información referente a estampillas, de los contratos suscritos. Como evidencia de ello, se adjunta carpeta comprimida con los correos electrónicos y archivos remitidos.</w:t>
            </w:r>
          </w:p>
        </w:tc>
        <w:tc>
          <w:tcPr>
            <w:tcW w:w="3969" w:type="dxa"/>
            <w:vMerge/>
            <w:tcBorders>
              <w:left w:val="nil"/>
              <w:bottom w:val="single" w:sz="4" w:space="0" w:color="auto"/>
              <w:right w:val="single" w:sz="4" w:space="0" w:color="auto"/>
            </w:tcBorders>
            <w:shd w:val="clear" w:color="auto" w:fill="auto"/>
            <w:noWrap/>
            <w:vAlign w:val="center"/>
          </w:tcPr>
          <w:p w14:paraId="3DCF5D5E" w14:textId="77777777" w:rsidR="004F047E" w:rsidRPr="000B0F0A" w:rsidRDefault="004F047E" w:rsidP="00ED72C2">
            <w:pPr>
              <w:jc w:val="left"/>
              <w:rPr>
                <w:rFonts w:asciiTheme="minorHAnsi" w:hAnsiTheme="minorHAnsi" w:cstheme="minorHAnsi"/>
                <w:b/>
                <w:bCs/>
                <w:sz w:val="16"/>
                <w:szCs w:val="16"/>
                <w:lang w:val="es-CO" w:eastAsia="es-CO"/>
              </w:rPr>
            </w:pPr>
          </w:p>
        </w:tc>
      </w:tr>
      <w:tr w:rsidR="00ED72C2" w:rsidRPr="000B0F0A" w14:paraId="349AC056" w14:textId="77777777" w:rsidTr="00987370">
        <w:trPr>
          <w:trHeight w:val="2361"/>
        </w:trPr>
        <w:tc>
          <w:tcPr>
            <w:tcW w:w="317" w:type="dxa"/>
            <w:tcBorders>
              <w:top w:val="nil"/>
              <w:left w:val="single" w:sz="4" w:space="0" w:color="auto"/>
              <w:bottom w:val="single" w:sz="4" w:space="0" w:color="auto"/>
              <w:right w:val="single" w:sz="4" w:space="0" w:color="auto"/>
            </w:tcBorders>
            <w:shd w:val="clear" w:color="auto" w:fill="auto"/>
            <w:vAlign w:val="center"/>
            <w:hideMark/>
          </w:tcPr>
          <w:p w14:paraId="329F2392"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19</w:t>
            </w:r>
          </w:p>
        </w:tc>
        <w:tc>
          <w:tcPr>
            <w:tcW w:w="954" w:type="dxa"/>
            <w:tcBorders>
              <w:top w:val="nil"/>
              <w:left w:val="nil"/>
              <w:bottom w:val="single" w:sz="4" w:space="0" w:color="auto"/>
              <w:right w:val="single" w:sz="4" w:space="0" w:color="auto"/>
            </w:tcBorders>
            <w:shd w:val="clear" w:color="auto" w:fill="auto"/>
            <w:vAlign w:val="center"/>
            <w:hideMark/>
          </w:tcPr>
          <w:p w14:paraId="1E247986"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Revelaciones para</w:t>
            </w:r>
            <w:r w:rsidRPr="000B0F0A">
              <w:rPr>
                <w:rFonts w:asciiTheme="minorHAnsi" w:hAnsiTheme="minorHAnsi" w:cstheme="minorHAnsi"/>
                <w:sz w:val="16"/>
                <w:szCs w:val="16"/>
                <w:lang w:val="es-CO" w:eastAsia="es-CO"/>
              </w:rPr>
              <w:br/>
              <w:t>Estados Financieros</w:t>
            </w:r>
          </w:p>
        </w:tc>
        <w:tc>
          <w:tcPr>
            <w:tcW w:w="3969" w:type="dxa"/>
            <w:tcBorders>
              <w:top w:val="single" w:sz="4" w:space="0" w:color="auto"/>
              <w:left w:val="nil"/>
              <w:bottom w:val="single" w:sz="4" w:space="0" w:color="auto"/>
              <w:right w:val="nil"/>
            </w:tcBorders>
            <w:shd w:val="clear" w:color="auto" w:fill="auto"/>
            <w:vAlign w:val="center"/>
            <w:hideMark/>
          </w:tcPr>
          <w:p w14:paraId="0E3F1DB4" w14:textId="1E1558C3" w:rsidR="00ED72C2" w:rsidRPr="00987370" w:rsidRDefault="00ED72C2" w:rsidP="00987370">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t>Diligenciamiento de la Guía para la Elaboración de Notas a los Estados Financieros de las Entidades de Gobierno Distritales y de los Entes Públicos Distritales que conforman la Entidad Contable Pública Bogotá D.C de acuerdo con las normas establecidas para tal fin.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4462" w14:textId="77777777" w:rsidR="00ED72C2" w:rsidRPr="000B0F0A" w:rsidRDefault="00ED72C2" w:rsidP="009E195B">
            <w:pPr>
              <w:suppressAutoHyphens w:val="0"/>
              <w:autoSpaceDN/>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t xml:space="preserve">14.6.6 </w:t>
            </w:r>
            <w:r w:rsidRPr="000B0F0A">
              <w:rPr>
                <w:rFonts w:asciiTheme="minorHAnsi" w:hAnsiTheme="minorHAnsi" w:cstheme="minorHAnsi"/>
                <w:b/>
                <w:bCs/>
                <w:color w:val="000000"/>
                <w:sz w:val="16"/>
                <w:szCs w:val="16"/>
                <w:lang w:val="es-CO" w:eastAsia="es-CO"/>
              </w:rPr>
              <w:t xml:space="preserve">Notas a los Estados Financieras: </w:t>
            </w:r>
            <w:r w:rsidRPr="000B0F0A">
              <w:rPr>
                <w:rFonts w:asciiTheme="minorHAnsi" w:hAnsiTheme="minorHAnsi" w:cstheme="minorHAnsi"/>
                <w:i/>
                <w:iCs/>
                <w:color w:val="000000"/>
                <w:sz w:val="16"/>
                <w:szCs w:val="16"/>
                <w:lang w:val="es-CO" w:eastAsia="es-CO"/>
              </w:rPr>
              <w:t>"Las notas son descripciones o desagregaciones de partidas de los estados financieros presentadas en forma sistemática…"(revelaciones).</w:t>
            </w:r>
          </w:p>
        </w:tc>
        <w:tc>
          <w:tcPr>
            <w:tcW w:w="1276" w:type="dxa"/>
            <w:tcBorders>
              <w:top w:val="nil"/>
              <w:left w:val="nil"/>
              <w:bottom w:val="single" w:sz="4" w:space="0" w:color="auto"/>
              <w:right w:val="single" w:sz="4" w:space="0" w:color="auto"/>
            </w:tcBorders>
            <w:shd w:val="clear" w:color="auto" w:fill="auto"/>
            <w:vAlign w:val="center"/>
            <w:hideMark/>
          </w:tcPr>
          <w:p w14:paraId="1EB631C1"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Áreas generadoras de hechos económicos que deban informar</w:t>
            </w:r>
          </w:p>
        </w:tc>
        <w:tc>
          <w:tcPr>
            <w:tcW w:w="1984" w:type="dxa"/>
            <w:tcBorders>
              <w:top w:val="nil"/>
              <w:left w:val="nil"/>
              <w:bottom w:val="single" w:sz="4" w:space="0" w:color="auto"/>
              <w:right w:val="single" w:sz="4" w:space="0" w:color="auto"/>
            </w:tcBorders>
            <w:shd w:val="clear" w:color="auto" w:fill="auto"/>
            <w:vAlign w:val="center"/>
            <w:hideMark/>
          </w:tcPr>
          <w:p w14:paraId="4E9F7DE6"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Quince primeros días del año</w:t>
            </w:r>
          </w:p>
        </w:tc>
        <w:tc>
          <w:tcPr>
            <w:tcW w:w="1559" w:type="dxa"/>
            <w:tcBorders>
              <w:top w:val="nil"/>
              <w:left w:val="nil"/>
              <w:bottom w:val="single" w:sz="4" w:space="0" w:color="auto"/>
              <w:right w:val="single" w:sz="4" w:space="0" w:color="auto"/>
            </w:tcBorders>
            <w:shd w:val="clear" w:color="auto" w:fill="auto"/>
            <w:vAlign w:val="center"/>
            <w:hideMark/>
          </w:tcPr>
          <w:p w14:paraId="0F7198A8" w14:textId="77777777" w:rsidR="00503079" w:rsidRDefault="00503079" w:rsidP="00505A29">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STC</w:t>
            </w:r>
          </w:p>
          <w:p w14:paraId="49E981DB" w14:textId="77777777" w:rsidR="00ED72C2" w:rsidRDefault="00503079" w:rsidP="00505A29">
            <w:pPr>
              <w:suppressAutoHyphens w:val="0"/>
              <w:autoSpaceDN/>
              <w:jc w:val="center"/>
              <w:textAlignment w:val="auto"/>
              <w:rPr>
                <w:rFonts w:asciiTheme="minorHAnsi" w:hAnsiTheme="minorHAnsi" w:cstheme="minorHAnsi"/>
                <w:sz w:val="16"/>
                <w:szCs w:val="16"/>
                <w:lang w:val="es-CO" w:eastAsia="es-CO"/>
              </w:rPr>
            </w:pPr>
            <w:r w:rsidRPr="00CA7CE6">
              <w:rPr>
                <w:rFonts w:asciiTheme="minorHAnsi" w:hAnsiTheme="minorHAnsi" w:cstheme="minorHAnsi"/>
                <w:sz w:val="16"/>
                <w:szCs w:val="16"/>
                <w:lang w:val="es-CO" w:eastAsia="es-CO"/>
              </w:rPr>
              <w:t>20214000124603</w:t>
            </w:r>
          </w:p>
          <w:p w14:paraId="11EAFAC6" w14:textId="77777777" w:rsidR="008556C9" w:rsidRDefault="008556C9" w:rsidP="00505A29">
            <w:pPr>
              <w:suppressAutoHyphens w:val="0"/>
              <w:autoSpaceDN/>
              <w:jc w:val="center"/>
              <w:textAlignment w:val="auto"/>
              <w:rPr>
                <w:rFonts w:asciiTheme="minorHAnsi" w:hAnsiTheme="minorHAnsi" w:cstheme="minorHAnsi"/>
                <w:sz w:val="16"/>
                <w:szCs w:val="16"/>
                <w:lang w:val="es-CO" w:eastAsia="es-CO"/>
              </w:rPr>
            </w:pPr>
          </w:p>
          <w:p w14:paraId="10309DC5" w14:textId="77777777" w:rsidR="008556C9" w:rsidRDefault="008556C9" w:rsidP="00505A29">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STP</w:t>
            </w:r>
          </w:p>
          <w:p w14:paraId="7D161C56" w14:textId="77777777" w:rsidR="008556C9" w:rsidRDefault="008556C9" w:rsidP="00505A29">
            <w:pPr>
              <w:suppressAutoHyphens w:val="0"/>
              <w:autoSpaceDN/>
              <w:jc w:val="center"/>
              <w:textAlignment w:val="auto"/>
              <w:rPr>
                <w:rFonts w:asciiTheme="minorHAnsi" w:hAnsiTheme="minorHAnsi" w:cstheme="minorHAnsi"/>
                <w:sz w:val="16"/>
                <w:szCs w:val="16"/>
                <w:lang w:val="es-CO" w:eastAsia="es-CO"/>
              </w:rPr>
            </w:pPr>
            <w:r w:rsidRPr="00A64017">
              <w:rPr>
                <w:rFonts w:asciiTheme="minorHAnsi" w:hAnsiTheme="minorHAnsi" w:cstheme="minorHAnsi"/>
                <w:sz w:val="16"/>
                <w:szCs w:val="16"/>
                <w:lang w:val="es-CO" w:eastAsia="es-CO"/>
              </w:rPr>
              <w:t>20216200126483</w:t>
            </w:r>
          </w:p>
          <w:p w14:paraId="37A14133" w14:textId="77777777" w:rsidR="00401837" w:rsidRDefault="00401837" w:rsidP="00505A29">
            <w:pPr>
              <w:suppressAutoHyphens w:val="0"/>
              <w:autoSpaceDN/>
              <w:jc w:val="center"/>
              <w:textAlignment w:val="auto"/>
              <w:rPr>
                <w:rFonts w:asciiTheme="minorHAnsi" w:hAnsiTheme="minorHAnsi" w:cstheme="minorHAnsi"/>
                <w:sz w:val="16"/>
                <w:szCs w:val="16"/>
                <w:lang w:val="es-CO" w:eastAsia="es-CO"/>
              </w:rPr>
            </w:pPr>
          </w:p>
          <w:p w14:paraId="796978FC" w14:textId="77777777" w:rsidR="00401837" w:rsidRPr="002E7A9D" w:rsidRDefault="00401837" w:rsidP="00505A29">
            <w:pPr>
              <w:suppressAutoHyphens w:val="0"/>
              <w:autoSpaceDN/>
              <w:jc w:val="center"/>
              <w:textAlignment w:val="auto"/>
              <w:rPr>
                <w:rFonts w:asciiTheme="minorHAnsi" w:hAnsiTheme="minorHAnsi" w:cstheme="minorHAnsi"/>
                <w:sz w:val="16"/>
                <w:szCs w:val="16"/>
                <w:lang w:val="es-CO" w:eastAsia="es-CO"/>
              </w:rPr>
            </w:pPr>
            <w:r w:rsidRPr="002E7A9D">
              <w:rPr>
                <w:rFonts w:asciiTheme="minorHAnsi" w:hAnsiTheme="minorHAnsi" w:cstheme="minorHAnsi"/>
                <w:sz w:val="16"/>
                <w:szCs w:val="16"/>
                <w:lang w:val="es-CO" w:eastAsia="es-CO"/>
              </w:rPr>
              <w:t>STRD</w:t>
            </w:r>
          </w:p>
          <w:p w14:paraId="57ADB0A7" w14:textId="6AEE463E" w:rsidR="00401837" w:rsidRPr="000B0F0A" w:rsidRDefault="002E7A9D" w:rsidP="00505A29">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Sin respuesta</w:t>
            </w:r>
          </w:p>
        </w:tc>
        <w:tc>
          <w:tcPr>
            <w:tcW w:w="993" w:type="dxa"/>
            <w:tcBorders>
              <w:top w:val="nil"/>
              <w:left w:val="nil"/>
              <w:bottom w:val="single" w:sz="4" w:space="0" w:color="auto"/>
              <w:right w:val="single" w:sz="4" w:space="0" w:color="auto"/>
            </w:tcBorders>
            <w:shd w:val="clear" w:color="auto" w:fill="92D050"/>
            <w:vAlign w:val="center"/>
            <w:hideMark/>
          </w:tcPr>
          <w:p w14:paraId="02CCA3A9" w14:textId="77777777" w:rsidR="00ED72C2"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 </w:t>
            </w:r>
            <w:r w:rsidR="0011705C">
              <w:rPr>
                <w:rFonts w:asciiTheme="minorHAnsi" w:hAnsiTheme="minorHAnsi" w:cstheme="minorHAnsi"/>
                <w:sz w:val="16"/>
                <w:szCs w:val="16"/>
                <w:lang w:val="es-CO" w:eastAsia="es-CO"/>
              </w:rPr>
              <w:t>SÍ</w:t>
            </w:r>
          </w:p>
          <w:p w14:paraId="3D5ED72D" w14:textId="5B8E5455" w:rsidR="0011705C" w:rsidRPr="000B0F0A" w:rsidRDefault="0011705C"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p>
        </w:tc>
        <w:tc>
          <w:tcPr>
            <w:tcW w:w="4110" w:type="dxa"/>
            <w:tcBorders>
              <w:top w:val="nil"/>
              <w:left w:val="nil"/>
              <w:bottom w:val="single" w:sz="4" w:space="0" w:color="auto"/>
              <w:right w:val="single" w:sz="4" w:space="0" w:color="auto"/>
            </w:tcBorders>
            <w:shd w:val="clear" w:color="auto" w:fill="auto"/>
            <w:noWrap/>
            <w:vAlign w:val="center"/>
            <w:hideMark/>
          </w:tcPr>
          <w:p w14:paraId="64F3E785" w14:textId="244B278D" w:rsidR="00503079" w:rsidRDefault="00503079" w:rsidP="00503079">
            <w:pPr>
              <w:suppressAutoHyphens w:val="0"/>
              <w:autoSpaceDN/>
              <w:jc w:val="left"/>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La STC adjunta la siguiente información:</w:t>
            </w:r>
          </w:p>
          <w:p w14:paraId="0A8A5DC9" w14:textId="4C540BCF" w:rsidR="00D16F29" w:rsidRPr="00D16F29" w:rsidRDefault="00D16F29" w:rsidP="00D16F29">
            <w:pPr>
              <w:suppressAutoHyphens w:val="0"/>
              <w:autoSpaceDN/>
              <w:jc w:val="left"/>
              <w:textAlignment w:val="auto"/>
              <w:rPr>
                <w:rFonts w:asciiTheme="minorHAnsi" w:hAnsiTheme="minorHAnsi" w:cstheme="minorHAnsi"/>
                <w:sz w:val="16"/>
                <w:szCs w:val="16"/>
                <w:lang w:val="es-CO" w:eastAsia="es-CO"/>
              </w:rPr>
            </w:pPr>
            <w:r w:rsidRPr="00D16F29">
              <w:rPr>
                <w:rFonts w:asciiTheme="minorHAnsi" w:hAnsiTheme="minorHAnsi" w:cstheme="minorHAnsi"/>
                <w:sz w:val="16"/>
                <w:szCs w:val="16"/>
                <w:lang w:val="es-CO" w:eastAsia="es-CO"/>
              </w:rPr>
              <w:t xml:space="preserve">Conciliación anticipos Contratos de Obra Pública a </w:t>
            </w:r>
            <w:r w:rsidR="008845F6" w:rsidRPr="00D16F29">
              <w:rPr>
                <w:rFonts w:asciiTheme="minorHAnsi" w:hAnsiTheme="minorHAnsi" w:cstheme="minorHAnsi"/>
                <w:sz w:val="16"/>
                <w:szCs w:val="16"/>
                <w:lang w:val="es-CO" w:eastAsia="es-CO"/>
              </w:rPr>
              <w:t>sep.</w:t>
            </w:r>
            <w:r w:rsidRPr="00D16F29">
              <w:rPr>
                <w:rFonts w:asciiTheme="minorHAnsi" w:hAnsiTheme="minorHAnsi" w:cstheme="minorHAnsi"/>
                <w:sz w:val="16"/>
                <w:szCs w:val="16"/>
                <w:lang w:val="es-CO" w:eastAsia="es-CO"/>
              </w:rPr>
              <w:t xml:space="preserve"> y a dic de 2020</w:t>
            </w:r>
          </w:p>
          <w:p w14:paraId="6EC87344" w14:textId="37AD3EA5" w:rsidR="00D16F29" w:rsidRDefault="00D16F29" w:rsidP="00D16F29">
            <w:pPr>
              <w:suppressAutoHyphens w:val="0"/>
              <w:autoSpaceDN/>
              <w:jc w:val="left"/>
              <w:textAlignment w:val="auto"/>
              <w:rPr>
                <w:rFonts w:asciiTheme="minorHAnsi" w:hAnsiTheme="minorHAnsi" w:cstheme="minorHAnsi"/>
                <w:sz w:val="16"/>
                <w:szCs w:val="16"/>
                <w:lang w:val="es-CO" w:eastAsia="es-CO"/>
              </w:rPr>
            </w:pPr>
            <w:r w:rsidRPr="00D16F29">
              <w:rPr>
                <w:rFonts w:asciiTheme="minorHAnsi" w:hAnsiTheme="minorHAnsi" w:cstheme="minorHAnsi"/>
                <w:sz w:val="16"/>
                <w:szCs w:val="16"/>
                <w:lang w:val="es-CO" w:eastAsia="es-CO"/>
              </w:rPr>
              <w:t xml:space="preserve">Conciliación Obras en ejecución a </w:t>
            </w:r>
            <w:r w:rsidR="008845F6" w:rsidRPr="00D16F29">
              <w:rPr>
                <w:rFonts w:asciiTheme="minorHAnsi" w:hAnsiTheme="minorHAnsi" w:cstheme="minorHAnsi"/>
                <w:sz w:val="16"/>
                <w:szCs w:val="16"/>
                <w:lang w:val="es-CO" w:eastAsia="es-CO"/>
              </w:rPr>
              <w:t>sep.</w:t>
            </w:r>
            <w:r w:rsidRPr="00D16F29">
              <w:rPr>
                <w:rFonts w:asciiTheme="minorHAnsi" w:hAnsiTheme="minorHAnsi" w:cstheme="minorHAnsi"/>
                <w:sz w:val="16"/>
                <w:szCs w:val="16"/>
                <w:lang w:val="es-CO" w:eastAsia="es-CO"/>
              </w:rPr>
              <w:t xml:space="preserve"> y a dic 2020</w:t>
            </w:r>
          </w:p>
          <w:p w14:paraId="2E8EC26C" w14:textId="77777777" w:rsidR="008556C9" w:rsidRDefault="008556C9" w:rsidP="00ED72C2">
            <w:pPr>
              <w:suppressAutoHyphens w:val="0"/>
              <w:autoSpaceDN/>
              <w:jc w:val="left"/>
              <w:textAlignment w:val="auto"/>
              <w:rPr>
                <w:rFonts w:asciiTheme="minorHAnsi" w:hAnsiTheme="minorHAnsi" w:cstheme="minorHAnsi"/>
                <w:sz w:val="16"/>
                <w:szCs w:val="16"/>
                <w:lang w:val="es-CO" w:eastAsia="es-CO"/>
              </w:rPr>
            </w:pPr>
          </w:p>
          <w:p w14:paraId="45C210D2" w14:textId="77777777" w:rsidR="00D16F29" w:rsidRDefault="008556C9" w:rsidP="008556C9">
            <w:pPr>
              <w:suppressAutoHyphens w:val="0"/>
              <w:autoSpaceDN/>
              <w:textAlignment w:val="auto"/>
              <w:rPr>
                <w:rFonts w:asciiTheme="minorHAnsi" w:hAnsiTheme="minorHAnsi" w:cstheme="minorHAnsi"/>
                <w:i/>
                <w:sz w:val="16"/>
                <w:szCs w:val="16"/>
                <w:lang w:val="es-CO" w:eastAsia="es-CO"/>
              </w:rPr>
            </w:pPr>
            <w:r>
              <w:rPr>
                <w:rFonts w:asciiTheme="minorHAnsi" w:hAnsiTheme="minorHAnsi" w:cstheme="minorHAnsi"/>
                <w:sz w:val="16"/>
                <w:szCs w:val="16"/>
                <w:lang w:val="es-CO" w:eastAsia="es-CO"/>
              </w:rPr>
              <w:t xml:space="preserve">La STP informa que </w:t>
            </w:r>
            <w:r w:rsidRPr="008556C9">
              <w:rPr>
                <w:rFonts w:asciiTheme="minorHAnsi" w:hAnsiTheme="minorHAnsi" w:cstheme="minorHAnsi"/>
                <w:i/>
                <w:sz w:val="16"/>
                <w:szCs w:val="16"/>
                <w:lang w:val="es-CO" w:eastAsia="es-CO"/>
              </w:rPr>
              <w:t>“Se realizó reunión con el objeto de definir la identificación de códigos para el CEFE Tunal el cual entre la operación en el mes de noviembre de 2020 se anexa evidencia”</w:t>
            </w:r>
          </w:p>
          <w:p w14:paraId="06FF5AC3" w14:textId="77777777" w:rsidR="00D16F29" w:rsidRDefault="00D16F29" w:rsidP="008556C9">
            <w:pPr>
              <w:suppressAutoHyphens w:val="0"/>
              <w:autoSpaceDN/>
              <w:textAlignment w:val="auto"/>
              <w:rPr>
                <w:rFonts w:asciiTheme="minorHAnsi" w:hAnsiTheme="minorHAnsi" w:cstheme="minorHAnsi"/>
                <w:i/>
                <w:sz w:val="16"/>
                <w:szCs w:val="16"/>
                <w:lang w:val="es-CO" w:eastAsia="es-CO"/>
              </w:rPr>
            </w:pPr>
          </w:p>
          <w:p w14:paraId="7A71B163" w14:textId="3CEEA114" w:rsidR="008556C9" w:rsidRPr="00D16F29" w:rsidRDefault="00D16F29" w:rsidP="008556C9">
            <w:pPr>
              <w:suppressAutoHyphens w:val="0"/>
              <w:autoSpaceDN/>
              <w:textAlignment w:val="auto"/>
              <w:rPr>
                <w:rFonts w:asciiTheme="minorHAnsi" w:hAnsiTheme="minorHAnsi" w:cstheme="minorHAnsi"/>
                <w:iCs/>
                <w:sz w:val="16"/>
                <w:szCs w:val="16"/>
                <w:lang w:val="es-CO" w:eastAsia="es-CO"/>
              </w:rPr>
            </w:pPr>
            <w:r w:rsidRPr="002E7A9D">
              <w:rPr>
                <w:rFonts w:asciiTheme="minorHAnsi" w:hAnsiTheme="minorHAnsi" w:cstheme="minorHAnsi"/>
                <w:iCs/>
                <w:sz w:val="16"/>
                <w:szCs w:val="16"/>
                <w:lang w:val="es-CO" w:eastAsia="es-CO"/>
              </w:rPr>
              <w:t xml:space="preserve">STRD: </w:t>
            </w:r>
            <w:r w:rsidR="002E7A9D" w:rsidRPr="002E7A9D">
              <w:rPr>
                <w:rFonts w:asciiTheme="minorHAnsi" w:hAnsiTheme="minorHAnsi" w:cstheme="minorHAnsi"/>
                <w:iCs/>
                <w:sz w:val="16"/>
                <w:szCs w:val="16"/>
                <w:lang w:val="es-CO" w:eastAsia="es-CO"/>
              </w:rPr>
              <w:t>Sin</w:t>
            </w:r>
            <w:r w:rsidRPr="002E7A9D">
              <w:rPr>
                <w:rFonts w:asciiTheme="minorHAnsi" w:hAnsiTheme="minorHAnsi" w:cstheme="minorHAnsi"/>
                <w:iCs/>
                <w:sz w:val="16"/>
                <w:szCs w:val="16"/>
                <w:lang w:val="es-CO" w:eastAsia="es-CO"/>
              </w:rPr>
              <w:t xml:space="preserve"> respuesta</w:t>
            </w:r>
          </w:p>
        </w:tc>
        <w:tc>
          <w:tcPr>
            <w:tcW w:w="3969" w:type="dxa"/>
            <w:tcBorders>
              <w:top w:val="nil"/>
              <w:left w:val="nil"/>
              <w:bottom w:val="single" w:sz="4" w:space="0" w:color="auto"/>
              <w:right w:val="single" w:sz="4" w:space="0" w:color="auto"/>
            </w:tcBorders>
            <w:shd w:val="clear" w:color="auto" w:fill="auto"/>
            <w:noWrap/>
            <w:vAlign w:val="center"/>
            <w:hideMark/>
          </w:tcPr>
          <w:p w14:paraId="0A59EECE" w14:textId="77777777" w:rsidR="00ED72C2" w:rsidRDefault="0011705C" w:rsidP="0011705C">
            <w:pPr>
              <w:suppressAutoHyphens w:val="0"/>
              <w:autoSpaceDN/>
              <w:textAlignment w:val="auto"/>
              <w:rPr>
                <w:rFonts w:asciiTheme="minorHAnsi" w:hAnsiTheme="minorHAnsi" w:cstheme="minorHAnsi"/>
                <w:color w:val="000000"/>
                <w:sz w:val="16"/>
                <w:szCs w:val="16"/>
                <w:lang w:val="es-CO" w:eastAsia="es-CO"/>
              </w:rPr>
            </w:pPr>
            <w:r>
              <w:rPr>
                <w:rFonts w:asciiTheme="minorHAnsi" w:hAnsiTheme="minorHAnsi" w:cstheme="minorHAnsi"/>
                <w:sz w:val="16"/>
                <w:szCs w:val="16"/>
                <w:lang w:val="es-CO" w:eastAsia="es-CO"/>
              </w:rPr>
              <w:t>Revisadas las Notas a los Estados Financieros, se observó que éstas cumplen con las características establecidas en la ‘</w:t>
            </w:r>
            <w:r w:rsidRPr="000B0F0A">
              <w:rPr>
                <w:rFonts w:asciiTheme="minorHAnsi" w:hAnsiTheme="minorHAnsi" w:cstheme="minorHAnsi"/>
                <w:color w:val="000000"/>
                <w:sz w:val="16"/>
                <w:szCs w:val="16"/>
                <w:lang w:val="es-CO" w:eastAsia="es-CO"/>
              </w:rPr>
              <w:t>Guía para la Elaboración de Notas a los Estados Financieros de las Entidades de Gobierno Distritales y de los Entes Públicos Distritales que conforman la Entidad Contable Pública Bogotá D.C</w:t>
            </w:r>
            <w:r>
              <w:rPr>
                <w:rFonts w:asciiTheme="minorHAnsi" w:hAnsiTheme="minorHAnsi" w:cstheme="minorHAnsi"/>
                <w:color w:val="000000"/>
                <w:sz w:val="16"/>
                <w:szCs w:val="16"/>
                <w:lang w:val="es-CO" w:eastAsia="es-CO"/>
              </w:rPr>
              <w:t>.’, con lo que se dio cumplimiento a la actividad definida en el PSC.</w:t>
            </w:r>
          </w:p>
          <w:p w14:paraId="36139BB5" w14:textId="54CD2A9A" w:rsidR="0009431F" w:rsidRDefault="0009431F" w:rsidP="0011705C">
            <w:pPr>
              <w:suppressAutoHyphens w:val="0"/>
              <w:autoSpaceDN/>
              <w:textAlignment w:val="auto"/>
              <w:rPr>
                <w:rFonts w:asciiTheme="minorHAnsi" w:hAnsiTheme="minorHAnsi" w:cstheme="minorHAnsi"/>
                <w:color w:val="000000"/>
                <w:sz w:val="16"/>
                <w:szCs w:val="16"/>
                <w:lang w:val="es-CO" w:eastAsia="es-CO"/>
              </w:rPr>
            </w:pPr>
          </w:p>
          <w:p w14:paraId="76AF0D36" w14:textId="29493543" w:rsidR="0009431F" w:rsidRPr="000B0F0A" w:rsidRDefault="0009431F" w:rsidP="0011705C">
            <w:pPr>
              <w:suppressAutoHyphens w:val="0"/>
              <w:autoSpaceDN/>
              <w:textAlignment w:val="auto"/>
              <w:rPr>
                <w:rFonts w:asciiTheme="minorHAnsi" w:hAnsiTheme="minorHAnsi" w:cstheme="minorHAnsi"/>
                <w:sz w:val="16"/>
                <w:szCs w:val="16"/>
                <w:lang w:val="es-CO" w:eastAsia="es-CO"/>
              </w:rPr>
            </w:pPr>
            <w:r w:rsidRPr="002E7A9D">
              <w:rPr>
                <w:rFonts w:asciiTheme="minorHAnsi" w:hAnsiTheme="minorHAnsi" w:cstheme="minorHAnsi"/>
                <w:bCs/>
                <w:sz w:val="16"/>
                <w:szCs w:val="16"/>
                <w:lang w:val="es-CO" w:eastAsia="es-CO"/>
              </w:rPr>
              <w:t>La STRD no dio respuesta al requerimiento de información presentado por la Oficina de Control Interno con el memorando 20211500110583 del 17-mar-2021 ni a la reiteración de solicitud No. 20211500145353 del 16-abr-2021</w:t>
            </w:r>
            <w:r w:rsidRPr="004F047E">
              <w:rPr>
                <w:rFonts w:asciiTheme="minorHAnsi" w:hAnsiTheme="minorHAnsi" w:cstheme="minorHAnsi"/>
                <w:bCs/>
                <w:color w:val="FF0000"/>
                <w:sz w:val="16"/>
                <w:szCs w:val="16"/>
                <w:lang w:val="es-CO" w:eastAsia="es-CO"/>
              </w:rPr>
              <w:t>.</w:t>
            </w:r>
          </w:p>
        </w:tc>
      </w:tr>
      <w:tr w:rsidR="00ED72C2" w:rsidRPr="000B0F0A" w14:paraId="12AEA902" w14:textId="77777777" w:rsidTr="00987370">
        <w:trPr>
          <w:trHeight w:val="3400"/>
        </w:trPr>
        <w:tc>
          <w:tcPr>
            <w:tcW w:w="317" w:type="dxa"/>
            <w:tcBorders>
              <w:top w:val="nil"/>
              <w:left w:val="single" w:sz="4" w:space="0" w:color="auto"/>
              <w:bottom w:val="single" w:sz="4" w:space="0" w:color="auto"/>
              <w:right w:val="single" w:sz="4" w:space="0" w:color="auto"/>
            </w:tcBorders>
            <w:shd w:val="clear" w:color="auto" w:fill="auto"/>
            <w:vAlign w:val="center"/>
            <w:hideMark/>
          </w:tcPr>
          <w:p w14:paraId="2FD1767D"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lastRenderedPageBreak/>
              <w:t>20</w:t>
            </w:r>
          </w:p>
        </w:tc>
        <w:tc>
          <w:tcPr>
            <w:tcW w:w="954" w:type="dxa"/>
            <w:tcBorders>
              <w:top w:val="nil"/>
              <w:left w:val="nil"/>
              <w:bottom w:val="single" w:sz="4" w:space="0" w:color="auto"/>
              <w:right w:val="single" w:sz="4" w:space="0" w:color="auto"/>
            </w:tcBorders>
            <w:shd w:val="clear" w:color="auto" w:fill="auto"/>
            <w:vAlign w:val="center"/>
            <w:hideMark/>
          </w:tcPr>
          <w:p w14:paraId="11BB6BAF"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Cuentas por Pagar en Poder del Tesorero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E1EDCFB" w14:textId="77777777" w:rsidR="00ED72C2" w:rsidRPr="000B0F0A" w:rsidRDefault="00ED72C2" w:rsidP="00ED72C2">
            <w:pPr>
              <w:suppressAutoHyphens w:val="0"/>
              <w:autoSpaceDN/>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Entregar a  Contabilidad el reporte de cuentas por pagar en poder del tesorero, con corte de la vigencia fiscal, para la firma del contador del IDRD (según cronograma de cierre de la vigencia por SDH).</w:t>
            </w:r>
            <w:r w:rsidRPr="000B0F0A">
              <w:rPr>
                <w:rFonts w:asciiTheme="minorHAnsi" w:hAnsiTheme="minorHAnsi" w:cstheme="minorHAnsi"/>
                <w:sz w:val="16"/>
                <w:szCs w:val="16"/>
                <w:lang w:val="es-CO" w:eastAsia="es-CO"/>
              </w:rPr>
              <w:br/>
            </w:r>
            <w:r w:rsidRPr="000B0F0A">
              <w:rPr>
                <w:rFonts w:asciiTheme="minorHAnsi" w:hAnsiTheme="minorHAnsi" w:cstheme="minorHAnsi"/>
                <w:sz w:val="16"/>
                <w:szCs w:val="16"/>
                <w:lang w:val="es-CO" w:eastAsia="es-CO"/>
              </w:rPr>
              <w:br/>
              <w:t>Las cuentas por pagar son aquellas obligaciones constituidas a 31 de diciembre derivadas de la entrega de bienes, obras y servicios recibidos a satisfacción y de anticipos y sumas anticipadas pactadas en los contratos, que fueron giradas presupuestalmente pero no fueron canceladas (giro efectivo) al cierre del periodo, que cuentan con orden de pago o relación de autorización y que en la respectiva tesorería se encuentran los recursos disponibles para ser giradas en enero de la siguiente vigencia, de conformidad con el programa anual de caja aprobado.</w:t>
            </w:r>
          </w:p>
        </w:tc>
        <w:tc>
          <w:tcPr>
            <w:tcW w:w="3544" w:type="dxa"/>
            <w:tcBorders>
              <w:top w:val="nil"/>
              <w:left w:val="nil"/>
              <w:bottom w:val="single" w:sz="4" w:space="0" w:color="auto"/>
              <w:right w:val="single" w:sz="4" w:space="0" w:color="auto"/>
            </w:tcBorders>
            <w:shd w:val="clear" w:color="auto" w:fill="auto"/>
            <w:vAlign w:val="center"/>
            <w:hideMark/>
          </w:tcPr>
          <w:p w14:paraId="6110832A" w14:textId="77777777" w:rsidR="00ED72C2" w:rsidRPr="000B0F0A" w:rsidRDefault="00ED72C2" w:rsidP="009E195B">
            <w:pPr>
              <w:suppressAutoHyphens w:val="0"/>
              <w:autoSpaceDN/>
              <w:spacing w:after="240"/>
              <w:textAlignment w:val="auto"/>
              <w:rPr>
                <w:rFonts w:asciiTheme="minorHAnsi" w:hAnsiTheme="minorHAnsi" w:cstheme="minorHAnsi"/>
                <w:color w:val="000000"/>
                <w:sz w:val="16"/>
                <w:szCs w:val="16"/>
                <w:lang w:val="es-CO" w:eastAsia="es-CO"/>
              </w:rPr>
            </w:pPr>
            <w:r w:rsidRPr="000B0F0A">
              <w:rPr>
                <w:rFonts w:asciiTheme="minorHAnsi" w:hAnsiTheme="minorHAnsi" w:cstheme="minorHAnsi"/>
                <w:color w:val="000000"/>
                <w:sz w:val="16"/>
                <w:szCs w:val="16"/>
                <w:lang w:val="es-CO" w:eastAsia="es-CO"/>
              </w:rPr>
              <w:t xml:space="preserve">12.9.2 </w:t>
            </w:r>
            <w:r w:rsidRPr="000B0F0A">
              <w:rPr>
                <w:rFonts w:asciiTheme="minorHAnsi" w:hAnsiTheme="minorHAnsi" w:cstheme="minorHAnsi"/>
                <w:b/>
                <w:bCs/>
                <w:color w:val="000000"/>
                <w:sz w:val="16"/>
                <w:szCs w:val="16"/>
                <w:lang w:val="es-CO" w:eastAsia="es-CO"/>
              </w:rPr>
              <w:t>Cuentas por pagar - Reconocimiento:</w:t>
            </w:r>
            <w:r w:rsidRPr="000B0F0A">
              <w:rPr>
                <w:rFonts w:asciiTheme="minorHAnsi" w:hAnsiTheme="minorHAnsi" w:cstheme="minorHAnsi"/>
                <w:color w:val="000000"/>
                <w:sz w:val="16"/>
                <w:szCs w:val="16"/>
                <w:lang w:val="es-CO" w:eastAsia="es-CO"/>
              </w:rPr>
              <w:t xml:space="preserve"> </w:t>
            </w:r>
            <w:r w:rsidRPr="000B0F0A">
              <w:rPr>
                <w:rFonts w:asciiTheme="minorHAnsi" w:hAnsiTheme="minorHAnsi" w:cstheme="minorHAnsi"/>
                <w:i/>
                <w:iCs/>
                <w:color w:val="000000"/>
                <w:sz w:val="16"/>
                <w:szCs w:val="16"/>
                <w:lang w:val="es-CO" w:eastAsia="es-CO"/>
              </w:rPr>
              <w:t xml:space="preserve">"Se reconoce como cuentas por pagar las obligaciones adquiridas por el Instituto Distrital de Recreación y Deporte - </w:t>
            </w:r>
            <w:proofErr w:type="spellStart"/>
            <w:r w:rsidRPr="000B0F0A">
              <w:rPr>
                <w:rFonts w:asciiTheme="minorHAnsi" w:hAnsiTheme="minorHAnsi" w:cstheme="minorHAnsi"/>
                <w:i/>
                <w:iCs/>
                <w:color w:val="000000"/>
                <w:sz w:val="16"/>
                <w:szCs w:val="16"/>
                <w:lang w:val="es-CO" w:eastAsia="es-CO"/>
              </w:rPr>
              <w:t>lDRD</w:t>
            </w:r>
            <w:proofErr w:type="spellEnd"/>
            <w:r w:rsidRPr="000B0F0A">
              <w:rPr>
                <w:rFonts w:asciiTheme="minorHAnsi" w:hAnsiTheme="minorHAnsi" w:cstheme="minorHAnsi"/>
                <w:i/>
                <w:iCs/>
                <w:color w:val="000000"/>
                <w:sz w:val="16"/>
                <w:szCs w:val="16"/>
                <w:lang w:val="es-CO" w:eastAsia="es-CO"/>
              </w:rPr>
              <w:t xml:space="preserve"> con terceros, originadas en el desarrollo de sus actividades y de las cuales se espere, a futuro la salida de un flujo financiero fijo o determinable a través de efectivo, equivalentes al efectivo u otro instrumento."</w:t>
            </w:r>
          </w:p>
        </w:tc>
        <w:tc>
          <w:tcPr>
            <w:tcW w:w="1276" w:type="dxa"/>
            <w:tcBorders>
              <w:top w:val="nil"/>
              <w:left w:val="nil"/>
              <w:bottom w:val="single" w:sz="4" w:space="0" w:color="auto"/>
              <w:right w:val="single" w:sz="4" w:space="0" w:color="auto"/>
            </w:tcBorders>
            <w:shd w:val="clear" w:color="auto" w:fill="auto"/>
            <w:vAlign w:val="center"/>
            <w:hideMark/>
          </w:tcPr>
          <w:p w14:paraId="5184D75F" w14:textId="769BFF39"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Área de Tesorería</w:t>
            </w:r>
          </w:p>
        </w:tc>
        <w:tc>
          <w:tcPr>
            <w:tcW w:w="1984" w:type="dxa"/>
            <w:tcBorders>
              <w:top w:val="nil"/>
              <w:left w:val="nil"/>
              <w:bottom w:val="single" w:sz="4" w:space="0" w:color="auto"/>
              <w:right w:val="single" w:sz="4" w:space="0" w:color="auto"/>
            </w:tcBorders>
            <w:shd w:val="clear" w:color="auto" w:fill="auto"/>
            <w:vAlign w:val="center"/>
            <w:hideMark/>
          </w:tcPr>
          <w:p w14:paraId="70472DAD" w14:textId="77777777" w:rsidR="00ED72C2" w:rsidRPr="000B0F0A" w:rsidRDefault="00ED72C2" w:rsidP="00ED72C2">
            <w:pPr>
              <w:suppressAutoHyphens w:val="0"/>
              <w:autoSpaceDN/>
              <w:jc w:val="center"/>
              <w:textAlignment w:val="auto"/>
              <w:rPr>
                <w:rFonts w:asciiTheme="minorHAnsi" w:hAnsiTheme="minorHAnsi" w:cstheme="minorHAnsi"/>
                <w:sz w:val="16"/>
                <w:szCs w:val="16"/>
                <w:lang w:val="es-CO" w:eastAsia="es-CO"/>
              </w:rPr>
            </w:pPr>
            <w:r w:rsidRPr="000B0F0A">
              <w:rPr>
                <w:rFonts w:asciiTheme="minorHAnsi" w:hAnsiTheme="minorHAnsi" w:cstheme="minorHAnsi"/>
                <w:sz w:val="16"/>
                <w:szCs w:val="16"/>
                <w:lang w:val="es-CO" w:eastAsia="es-CO"/>
              </w:rPr>
              <w:t>Cinco primeros días hábiles de cada año</w:t>
            </w:r>
          </w:p>
        </w:tc>
        <w:tc>
          <w:tcPr>
            <w:tcW w:w="1559" w:type="dxa"/>
            <w:tcBorders>
              <w:top w:val="nil"/>
              <w:left w:val="nil"/>
              <w:bottom w:val="single" w:sz="4" w:space="0" w:color="auto"/>
              <w:right w:val="single" w:sz="4" w:space="0" w:color="auto"/>
            </w:tcBorders>
            <w:shd w:val="clear" w:color="auto" w:fill="auto"/>
            <w:vAlign w:val="center"/>
            <w:hideMark/>
          </w:tcPr>
          <w:p w14:paraId="75B041B4" w14:textId="391D4D89" w:rsidR="00ED72C2" w:rsidRPr="000B0F0A" w:rsidRDefault="00BE0960" w:rsidP="00ED72C2">
            <w:pPr>
              <w:suppressAutoHyphens w:val="0"/>
              <w:autoSpaceDN/>
              <w:jc w:val="center"/>
              <w:textAlignment w:val="auto"/>
              <w:rPr>
                <w:rFonts w:asciiTheme="minorHAnsi" w:hAnsiTheme="minorHAnsi" w:cstheme="minorHAnsi"/>
                <w:sz w:val="16"/>
                <w:szCs w:val="16"/>
                <w:lang w:val="es-CO" w:eastAsia="es-CO"/>
              </w:rPr>
            </w:pPr>
            <w:r w:rsidRPr="00BE0960">
              <w:rPr>
                <w:rFonts w:asciiTheme="minorHAnsi" w:hAnsiTheme="minorHAnsi" w:cstheme="minorHAnsi"/>
                <w:sz w:val="16"/>
                <w:szCs w:val="16"/>
                <w:lang w:val="es-CO" w:eastAsia="es-CO"/>
              </w:rPr>
              <w:t>20213320125753</w:t>
            </w:r>
          </w:p>
        </w:tc>
        <w:tc>
          <w:tcPr>
            <w:tcW w:w="993" w:type="dxa"/>
            <w:tcBorders>
              <w:top w:val="nil"/>
              <w:left w:val="nil"/>
              <w:bottom w:val="single" w:sz="4" w:space="0" w:color="auto"/>
              <w:right w:val="single" w:sz="4" w:space="0" w:color="auto"/>
            </w:tcBorders>
            <w:shd w:val="clear" w:color="auto" w:fill="92D050"/>
            <w:vAlign w:val="center"/>
            <w:hideMark/>
          </w:tcPr>
          <w:p w14:paraId="7250CC22" w14:textId="77777777" w:rsidR="00DF6612" w:rsidRDefault="00DF661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SÍ</w:t>
            </w:r>
          </w:p>
          <w:p w14:paraId="05D579F9" w14:textId="72CBB963" w:rsidR="00ED72C2" w:rsidRPr="000B0F0A" w:rsidRDefault="00DF6612" w:rsidP="00ED72C2">
            <w:pPr>
              <w:suppressAutoHyphens w:val="0"/>
              <w:autoSpaceDN/>
              <w:jc w:val="center"/>
              <w:textAlignment w:val="auto"/>
              <w:rPr>
                <w:rFonts w:asciiTheme="minorHAnsi" w:hAnsiTheme="minorHAnsi" w:cstheme="minorHAnsi"/>
                <w:sz w:val="16"/>
                <w:szCs w:val="16"/>
                <w:lang w:val="es-CO" w:eastAsia="es-CO"/>
              </w:rPr>
            </w:pPr>
            <w:r>
              <w:rPr>
                <w:rFonts w:asciiTheme="minorHAnsi" w:hAnsiTheme="minorHAnsi" w:cstheme="minorHAnsi"/>
                <w:sz w:val="16"/>
                <w:szCs w:val="16"/>
                <w:lang w:val="es-CO" w:eastAsia="es-CO"/>
              </w:rPr>
              <w:t>100%</w:t>
            </w:r>
            <w:r w:rsidR="00ED72C2" w:rsidRPr="000B0F0A">
              <w:rPr>
                <w:rFonts w:asciiTheme="minorHAnsi" w:hAnsiTheme="minorHAnsi" w:cstheme="minorHAnsi"/>
                <w:sz w:val="16"/>
                <w:szCs w:val="16"/>
                <w:lang w:val="es-CO" w:eastAsia="es-CO"/>
              </w:rPr>
              <w:t> </w:t>
            </w:r>
          </w:p>
        </w:tc>
        <w:tc>
          <w:tcPr>
            <w:tcW w:w="4110" w:type="dxa"/>
            <w:tcBorders>
              <w:top w:val="nil"/>
              <w:left w:val="nil"/>
              <w:bottom w:val="single" w:sz="4" w:space="0" w:color="auto"/>
              <w:right w:val="single" w:sz="4" w:space="0" w:color="auto"/>
            </w:tcBorders>
            <w:shd w:val="clear" w:color="auto" w:fill="auto"/>
            <w:noWrap/>
            <w:vAlign w:val="center"/>
            <w:hideMark/>
          </w:tcPr>
          <w:p w14:paraId="2FEAD574" w14:textId="77777777" w:rsidR="00ED72C2" w:rsidRDefault="00ED72C2" w:rsidP="00BE0960">
            <w:pPr>
              <w:suppressAutoHyphens w:val="0"/>
              <w:autoSpaceDN/>
              <w:textAlignment w:val="auto"/>
              <w:rPr>
                <w:rFonts w:asciiTheme="minorHAnsi" w:hAnsiTheme="minorHAnsi" w:cstheme="minorHAnsi"/>
                <w:i/>
                <w:sz w:val="16"/>
                <w:szCs w:val="16"/>
                <w:lang w:val="es-CO" w:eastAsia="es-CO"/>
              </w:rPr>
            </w:pPr>
            <w:r w:rsidRPr="000B0F0A">
              <w:rPr>
                <w:rFonts w:asciiTheme="minorHAnsi" w:hAnsiTheme="minorHAnsi" w:cstheme="minorHAnsi"/>
                <w:sz w:val="16"/>
                <w:szCs w:val="16"/>
                <w:lang w:val="es-CO" w:eastAsia="es-CO"/>
              </w:rPr>
              <w:t> </w:t>
            </w:r>
            <w:r w:rsidR="00BE0960">
              <w:rPr>
                <w:rFonts w:asciiTheme="minorHAnsi" w:hAnsiTheme="minorHAnsi" w:cstheme="minorHAnsi"/>
                <w:sz w:val="16"/>
                <w:szCs w:val="16"/>
                <w:lang w:val="es-CO" w:eastAsia="es-CO"/>
              </w:rPr>
              <w:t xml:space="preserve">Tesorería informa que se remite </w:t>
            </w:r>
            <w:r w:rsidR="00BE0960" w:rsidRPr="00BE0960">
              <w:rPr>
                <w:rFonts w:asciiTheme="minorHAnsi" w:hAnsiTheme="minorHAnsi" w:cstheme="minorHAnsi"/>
                <w:i/>
                <w:sz w:val="16"/>
                <w:szCs w:val="16"/>
                <w:lang w:val="es-CO" w:eastAsia="es-CO"/>
              </w:rPr>
              <w:t>“Oficio Rad. 20211010003171 del 08 de enero de 2021 con anexos, Correo donde se remite oficio a la Secretaria Distrital de Hacienda donde indican que la solicitud queda mediante el radicado No. 2021ER003375”</w:t>
            </w:r>
            <w:r w:rsidR="00A85A3B">
              <w:rPr>
                <w:rFonts w:asciiTheme="minorHAnsi" w:hAnsiTheme="minorHAnsi" w:cstheme="minorHAnsi"/>
                <w:i/>
                <w:sz w:val="16"/>
                <w:szCs w:val="16"/>
                <w:lang w:val="es-CO" w:eastAsia="es-CO"/>
              </w:rPr>
              <w:t>.</w:t>
            </w:r>
          </w:p>
          <w:p w14:paraId="2EE54263" w14:textId="77777777" w:rsidR="00A85A3B" w:rsidRDefault="00A85A3B" w:rsidP="00BE0960">
            <w:pPr>
              <w:suppressAutoHyphens w:val="0"/>
              <w:autoSpaceDN/>
              <w:textAlignment w:val="auto"/>
              <w:rPr>
                <w:rFonts w:asciiTheme="minorHAnsi" w:hAnsiTheme="minorHAnsi" w:cstheme="minorHAnsi"/>
                <w:i/>
                <w:sz w:val="16"/>
                <w:szCs w:val="16"/>
                <w:lang w:val="es-CO" w:eastAsia="es-CO"/>
              </w:rPr>
            </w:pPr>
          </w:p>
          <w:p w14:paraId="65EBE544" w14:textId="77777777" w:rsidR="00A85A3B" w:rsidRDefault="00A85A3B" w:rsidP="00BE0960">
            <w:pPr>
              <w:suppressAutoHyphens w:val="0"/>
              <w:autoSpaceDN/>
              <w:textAlignment w:val="auto"/>
              <w:rPr>
                <w:rFonts w:asciiTheme="minorHAnsi" w:hAnsiTheme="minorHAnsi" w:cstheme="minorHAnsi"/>
                <w:iCs/>
                <w:sz w:val="16"/>
                <w:szCs w:val="16"/>
                <w:lang w:val="es-CO" w:eastAsia="es-CO"/>
              </w:rPr>
            </w:pPr>
            <w:r w:rsidRPr="00A85A3B">
              <w:rPr>
                <w:rFonts w:asciiTheme="minorHAnsi" w:hAnsiTheme="minorHAnsi" w:cstheme="minorHAnsi"/>
                <w:iCs/>
                <w:sz w:val="16"/>
                <w:szCs w:val="16"/>
                <w:lang w:val="es-CO" w:eastAsia="es-CO"/>
              </w:rPr>
              <w:t>Anexo</w:t>
            </w:r>
            <w:r>
              <w:rPr>
                <w:rFonts w:asciiTheme="minorHAnsi" w:hAnsiTheme="minorHAnsi" w:cstheme="minorHAnsi"/>
                <w:iCs/>
                <w:sz w:val="16"/>
                <w:szCs w:val="16"/>
                <w:lang w:val="es-CO" w:eastAsia="es-CO"/>
              </w:rPr>
              <w:t>s:</w:t>
            </w:r>
          </w:p>
          <w:p w14:paraId="65377520" w14:textId="6D174292" w:rsidR="00A85A3B" w:rsidRDefault="00A85A3B" w:rsidP="00A85A3B">
            <w:pPr>
              <w:pStyle w:val="Prrafodelista"/>
              <w:numPr>
                <w:ilvl w:val="0"/>
                <w:numId w:val="10"/>
              </w:numPr>
              <w:suppressAutoHyphens w:val="0"/>
              <w:autoSpaceDN/>
              <w:ind w:left="70" w:hanging="142"/>
              <w:textAlignment w:val="auto"/>
              <w:rPr>
                <w:rFonts w:asciiTheme="minorHAnsi" w:hAnsiTheme="minorHAnsi" w:cstheme="minorHAnsi"/>
                <w:iCs/>
                <w:sz w:val="16"/>
                <w:szCs w:val="16"/>
                <w:lang w:val="es-CO" w:eastAsia="es-CO"/>
              </w:rPr>
            </w:pPr>
            <w:r>
              <w:rPr>
                <w:rFonts w:asciiTheme="minorHAnsi" w:hAnsiTheme="minorHAnsi" w:cstheme="minorHAnsi"/>
                <w:iCs/>
                <w:sz w:val="16"/>
                <w:szCs w:val="16"/>
                <w:lang w:val="es-CO" w:eastAsia="es-CO"/>
              </w:rPr>
              <w:t>Memorando 20211010003171 del 08-ene-2021 dirigido a SHD remitiendo reporte de CXP, que incluye relación de CXP, firmada por ordenador del gasto, responsable del presupuesto y contador.</w:t>
            </w:r>
          </w:p>
          <w:p w14:paraId="3061BFE5" w14:textId="1FBB1DFD" w:rsidR="00A85A3B" w:rsidRDefault="00A85A3B" w:rsidP="00A85A3B">
            <w:pPr>
              <w:pStyle w:val="Prrafodelista"/>
              <w:numPr>
                <w:ilvl w:val="0"/>
                <w:numId w:val="10"/>
              </w:numPr>
              <w:suppressAutoHyphens w:val="0"/>
              <w:autoSpaceDN/>
              <w:ind w:left="70" w:hanging="142"/>
              <w:textAlignment w:val="auto"/>
              <w:rPr>
                <w:rFonts w:asciiTheme="minorHAnsi" w:hAnsiTheme="minorHAnsi" w:cstheme="minorHAnsi"/>
                <w:iCs/>
                <w:sz w:val="16"/>
                <w:szCs w:val="16"/>
                <w:lang w:val="es-CO" w:eastAsia="es-CO"/>
              </w:rPr>
            </w:pPr>
            <w:r>
              <w:rPr>
                <w:rFonts w:asciiTheme="minorHAnsi" w:hAnsiTheme="minorHAnsi" w:cstheme="minorHAnsi"/>
                <w:iCs/>
                <w:sz w:val="16"/>
                <w:szCs w:val="16"/>
                <w:lang w:val="es-CO" w:eastAsia="es-CO"/>
              </w:rPr>
              <w:t>Relación de CXP de recursos administrados 2020, firmada por ordenador del gasto, responsable del presupuesto y contador.</w:t>
            </w:r>
          </w:p>
          <w:p w14:paraId="69B5085E" w14:textId="33E7F403" w:rsidR="00A85A3B" w:rsidRPr="00A85A3B" w:rsidRDefault="00A85A3B" w:rsidP="00A85A3B">
            <w:pPr>
              <w:pStyle w:val="Prrafodelista"/>
              <w:numPr>
                <w:ilvl w:val="0"/>
                <w:numId w:val="10"/>
              </w:numPr>
              <w:suppressAutoHyphens w:val="0"/>
              <w:autoSpaceDN/>
              <w:ind w:left="70" w:hanging="142"/>
              <w:textAlignment w:val="auto"/>
              <w:rPr>
                <w:rFonts w:asciiTheme="minorHAnsi" w:hAnsiTheme="minorHAnsi" w:cstheme="minorHAnsi"/>
                <w:iCs/>
                <w:sz w:val="16"/>
                <w:szCs w:val="16"/>
                <w:lang w:val="es-CO" w:eastAsia="es-CO"/>
              </w:rPr>
            </w:pPr>
            <w:r w:rsidRPr="00A85A3B">
              <w:rPr>
                <w:rFonts w:asciiTheme="minorHAnsi" w:hAnsiTheme="minorHAnsi" w:cstheme="minorHAnsi"/>
                <w:iCs/>
                <w:sz w:val="16"/>
                <w:szCs w:val="16"/>
                <w:lang w:val="es-CO" w:eastAsia="es-CO"/>
              </w:rPr>
              <w:t xml:space="preserve">Correo remisorio 09-ene-2021 de SHD para Tesorería IDRD, indicando Nro. </w:t>
            </w:r>
            <w:r w:rsidR="002E59A4">
              <w:rPr>
                <w:rFonts w:asciiTheme="minorHAnsi" w:hAnsiTheme="minorHAnsi" w:cstheme="minorHAnsi"/>
                <w:iCs/>
                <w:sz w:val="16"/>
                <w:szCs w:val="16"/>
                <w:lang w:val="es-CO" w:eastAsia="es-CO"/>
              </w:rPr>
              <w:t>radicado a oficio remitido por I</w:t>
            </w:r>
            <w:r w:rsidRPr="00A85A3B">
              <w:rPr>
                <w:rFonts w:asciiTheme="minorHAnsi" w:hAnsiTheme="minorHAnsi" w:cstheme="minorHAnsi"/>
                <w:iCs/>
                <w:sz w:val="16"/>
                <w:szCs w:val="16"/>
                <w:lang w:val="es-CO" w:eastAsia="es-CO"/>
              </w:rPr>
              <w:t>DRD sobre CXP</w:t>
            </w:r>
            <w:r>
              <w:rPr>
                <w:rFonts w:asciiTheme="minorHAnsi" w:hAnsiTheme="minorHAnsi" w:cstheme="minorHAnsi"/>
                <w:iCs/>
                <w:sz w:val="16"/>
                <w:szCs w:val="16"/>
                <w:lang w:val="es-CO" w:eastAsia="es-CO"/>
              </w:rPr>
              <w:t>.</w:t>
            </w:r>
          </w:p>
        </w:tc>
        <w:tc>
          <w:tcPr>
            <w:tcW w:w="3969" w:type="dxa"/>
            <w:tcBorders>
              <w:top w:val="nil"/>
              <w:left w:val="nil"/>
              <w:bottom w:val="single" w:sz="4" w:space="0" w:color="auto"/>
              <w:right w:val="single" w:sz="4" w:space="0" w:color="auto"/>
            </w:tcBorders>
            <w:shd w:val="clear" w:color="auto" w:fill="auto"/>
            <w:noWrap/>
            <w:vAlign w:val="center"/>
            <w:hideMark/>
          </w:tcPr>
          <w:p w14:paraId="0A4EB844" w14:textId="61E4957E" w:rsidR="00A85A3B" w:rsidRDefault="00A85A3B" w:rsidP="00ED72C2">
            <w:pPr>
              <w:suppressAutoHyphens w:val="0"/>
              <w:autoSpaceDN/>
              <w:jc w:val="left"/>
              <w:textAlignment w:val="auto"/>
              <w:rPr>
                <w:rFonts w:asciiTheme="minorHAnsi" w:hAnsiTheme="minorHAnsi" w:cstheme="minorHAnsi"/>
                <w:sz w:val="16"/>
                <w:szCs w:val="16"/>
                <w:lang w:val="es-CO" w:eastAsia="es-CO"/>
              </w:rPr>
            </w:pPr>
            <w:r w:rsidRPr="00A85A3B">
              <w:rPr>
                <w:rFonts w:asciiTheme="minorHAnsi" w:hAnsiTheme="minorHAnsi" w:cstheme="minorHAnsi"/>
                <w:sz w:val="16"/>
                <w:szCs w:val="16"/>
                <w:lang w:val="es-CO" w:eastAsia="es-CO"/>
              </w:rPr>
              <w:t xml:space="preserve">Allegada relación de cuentas que a 31-dic-2020 no habían sido giradas efectivamente, la cual </w:t>
            </w:r>
            <w:r>
              <w:rPr>
                <w:rFonts w:asciiTheme="minorHAnsi" w:hAnsiTheme="minorHAnsi" w:cstheme="minorHAnsi"/>
                <w:sz w:val="16"/>
                <w:szCs w:val="16"/>
                <w:lang w:val="es-CO" w:eastAsia="es-CO"/>
              </w:rPr>
              <w:t>presenta</w:t>
            </w:r>
            <w:r w:rsidRPr="00A85A3B">
              <w:rPr>
                <w:rFonts w:asciiTheme="minorHAnsi" w:hAnsiTheme="minorHAnsi" w:cstheme="minorHAnsi"/>
                <w:sz w:val="16"/>
                <w:szCs w:val="16"/>
                <w:lang w:val="es-CO" w:eastAsia="es-CO"/>
              </w:rPr>
              <w:t xml:space="preserve"> l</w:t>
            </w:r>
            <w:r>
              <w:rPr>
                <w:rFonts w:asciiTheme="minorHAnsi" w:hAnsiTheme="minorHAnsi" w:cstheme="minorHAnsi"/>
                <w:sz w:val="16"/>
                <w:szCs w:val="16"/>
                <w:lang w:val="es-CO" w:eastAsia="es-CO"/>
              </w:rPr>
              <w:t>a</w:t>
            </w:r>
            <w:r w:rsidRPr="00A85A3B">
              <w:rPr>
                <w:rFonts w:asciiTheme="minorHAnsi" w:hAnsiTheme="minorHAnsi" w:cstheme="minorHAnsi"/>
                <w:sz w:val="16"/>
                <w:szCs w:val="16"/>
                <w:lang w:val="es-CO" w:eastAsia="es-CO"/>
              </w:rPr>
              <w:t>s firmas de Ordenador del gasto, responsable del presupuesto y contador d</w:t>
            </w:r>
            <w:r>
              <w:rPr>
                <w:rFonts w:asciiTheme="minorHAnsi" w:hAnsiTheme="minorHAnsi" w:cstheme="minorHAnsi"/>
                <w:sz w:val="16"/>
                <w:szCs w:val="16"/>
                <w:lang w:val="es-CO" w:eastAsia="es-CO"/>
              </w:rPr>
              <w:t>e</w:t>
            </w:r>
            <w:r w:rsidRPr="00A85A3B">
              <w:rPr>
                <w:rFonts w:asciiTheme="minorHAnsi" w:hAnsiTheme="minorHAnsi" w:cstheme="minorHAnsi"/>
                <w:sz w:val="16"/>
                <w:szCs w:val="16"/>
                <w:lang w:val="es-CO" w:eastAsia="es-CO"/>
              </w:rPr>
              <w:t xml:space="preserve">l IDRD. </w:t>
            </w:r>
          </w:p>
          <w:p w14:paraId="55F16D3D" w14:textId="77777777" w:rsidR="00A85A3B" w:rsidRDefault="00A85A3B" w:rsidP="00ED72C2">
            <w:pPr>
              <w:suppressAutoHyphens w:val="0"/>
              <w:autoSpaceDN/>
              <w:jc w:val="left"/>
              <w:textAlignment w:val="auto"/>
              <w:rPr>
                <w:rFonts w:asciiTheme="minorHAnsi" w:hAnsiTheme="minorHAnsi" w:cstheme="minorHAnsi"/>
                <w:sz w:val="16"/>
                <w:szCs w:val="16"/>
                <w:lang w:val="es-CO" w:eastAsia="es-CO"/>
              </w:rPr>
            </w:pPr>
          </w:p>
          <w:p w14:paraId="610EDFDA" w14:textId="08FFBC8F" w:rsidR="00ED72C2" w:rsidRPr="000B0F0A" w:rsidRDefault="00A85A3B" w:rsidP="00ED72C2">
            <w:pPr>
              <w:suppressAutoHyphens w:val="0"/>
              <w:autoSpaceDN/>
              <w:jc w:val="left"/>
              <w:textAlignment w:val="auto"/>
              <w:rPr>
                <w:rFonts w:asciiTheme="minorHAnsi" w:hAnsiTheme="minorHAnsi" w:cstheme="minorHAnsi"/>
                <w:sz w:val="16"/>
                <w:szCs w:val="16"/>
                <w:lang w:val="es-CO" w:eastAsia="es-CO"/>
              </w:rPr>
            </w:pPr>
            <w:r w:rsidRPr="00A85A3B">
              <w:rPr>
                <w:rFonts w:asciiTheme="minorHAnsi" w:hAnsiTheme="minorHAnsi" w:cstheme="minorHAnsi"/>
                <w:sz w:val="16"/>
                <w:szCs w:val="16"/>
                <w:lang w:val="es-CO" w:eastAsia="es-CO"/>
              </w:rPr>
              <w:t>Se da cumplimiento a la actividad definida en el PSC</w:t>
            </w:r>
          </w:p>
        </w:tc>
      </w:tr>
    </w:tbl>
    <w:p w14:paraId="553818B6" w14:textId="77777777" w:rsidR="009E195B" w:rsidRDefault="009E195B" w:rsidP="00383DED">
      <w:pPr>
        <w:spacing w:before="100" w:beforeAutospacing="1" w:after="100" w:afterAutospacing="1" w:line="276" w:lineRule="auto"/>
        <w:ind w:left="708"/>
        <w:contextualSpacing/>
        <w:jc w:val="center"/>
        <w:rPr>
          <w:rFonts w:eastAsia="Arial" w:cs="Arial"/>
          <w:b/>
          <w:szCs w:val="22"/>
          <w:lang w:val="es-CO"/>
        </w:rPr>
      </w:pPr>
    </w:p>
    <w:p w14:paraId="6710C92A" w14:textId="018E9007" w:rsidR="000B0F0A" w:rsidRPr="000B0F0A" w:rsidRDefault="000B0F0A" w:rsidP="00383DED">
      <w:pPr>
        <w:spacing w:before="100" w:beforeAutospacing="1" w:after="100" w:afterAutospacing="1" w:line="276" w:lineRule="auto"/>
        <w:ind w:left="708"/>
        <w:contextualSpacing/>
        <w:jc w:val="center"/>
        <w:rPr>
          <w:rFonts w:eastAsia="Arial" w:cs="Arial"/>
          <w:b/>
          <w:szCs w:val="22"/>
          <w:lang w:val="es-CO"/>
        </w:rPr>
      </w:pPr>
    </w:p>
    <w:sectPr w:rsidR="000B0F0A" w:rsidRPr="000B0F0A" w:rsidSect="005B0DCC">
      <w:pgSz w:w="24477" w:h="15842" w:orient="landscape" w:code="3"/>
      <w:pgMar w:top="1701" w:right="1134" w:bottom="1701" w:left="1134" w:header="567" w:footer="60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C0C4" w14:textId="77777777" w:rsidR="00BF25BE" w:rsidRDefault="00BF25BE" w:rsidP="0034782A">
      <w:r>
        <w:separator/>
      </w:r>
    </w:p>
  </w:endnote>
  <w:endnote w:type="continuationSeparator" w:id="0">
    <w:p w14:paraId="7C527DE8" w14:textId="77777777" w:rsidR="00BF25BE" w:rsidRDefault="00BF25BE"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58666"/>
      <w:docPartObj>
        <w:docPartGallery w:val="Page Numbers (Bottom of Page)"/>
        <w:docPartUnique/>
      </w:docPartObj>
    </w:sdtPr>
    <w:sdtEndPr/>
    <w:sdtContent>
      <w:p w14:paraId="0A42C2DF" w14:textId="47B3F653" w:rsidR="00654B0A" w:rsidRDefault="00654B0A">
        <w:pPr>
          <w:pStyle w:val="Piedepgina"/>
          <w:jc w:val="right"/>
        </w:pPr>
        <w:r w:rsidRPr="005F26ED">
          <w:rPr>
            <w:noProof/>
            <w:lang w:eastAsia="es-CO"/>
          </w:rPr>
          <w:drawing>
            <wp:anchor distT="0" distB="0" distL="114300" distR="114300" simplePos="0" relativeHeight="251663360" behindDoc="0" locked="0" layoutInCell="1" allowOverlap="1" wp14:anchorId="0C6E25BF" wp14:editId="07C52EDA">
              <wp:simplePos x="0" y="0"/>
              <wp:positionH relativeFrom="column">
                <wp:posOffset>-99060</wp:posOffset>
              </wp:positionH>
              <wp:positionV relativeFrom="paragraph">
                <wp:posOffset>-373380</wp:posOffset>
              </wp:positionV>
              <wp:extent cx="5610225" cy="7620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anchor>
          </w:drawing>
        </w:r>
        <w:r>
          <w:fldChar w:fldCharType="begin"/>
        </w:r>
        <w:r>
          <w:instrText>PAGE   \* MERGEFORMAT</w:instrText>
        </w:r>
        <w:r>
          <w:fldChar w:fldCharType="separate"/>
        </w:r>
        <w:r w:rsidR="00FF6B2D" w:rsidRPr="00FF6B2D">
          <w:rPr>
            <w:noProof/>
            <w:lang w:val="es-ES"/>
          </w:rPr>
          <w:t>21</w:t>
        </w:r>
        <w:r>
          <w:fldChar w:fldCharType="end"/>
        </w:r>
      </w:p>
    </w:sdtContent>
  </w:sdt>
  <w:p w14:paraId="2394FE2C" w14:textId="5D954CBE" w:rsidR="00654B0A" w:rsidRDefault="00654B0A" w:rsidP="002A4E9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2F52" w14:textId="77777777" w:rsidR="00654B0A" w:rsidRDefault="00654B0A">
    <w:pPr>
      <w:pStyle w:val="Piedepgina"/>
    </w:pPr>
  </w:p>
  <w:p w14:paraId="34704370" w14:textId="56667A94" w:rsidR="00654B0A" w:rsidRDefault="00654B0A">
    <w:pPr>
      <w:pStyle w:val="Piedepgina"/>
    </w:pPr>
    <w:r w:rsidRPr="005F26ED">
      <w:rPr>
        <w:noProof/>
        <w:lang w:eastAsia="es-CO"/>
      </w:rPr>
      <w:drawing>
        <wp:inline distT="0" distB="0" distL="0" distR="0" wp14:anchorId="75B248EE" wp14:editId="39E283A0">
          <wp:extent cx="5610225" cy="762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5B2A" w14:textId="77777777" w:rsidR="00BF25BE" w:rsidRDefault="00BF25BE" w:rsidP="0034782A">
      <w:r>
        <w:separator/>
      </w:r>
    </w:p>
  </w:footnote>
  <w:footnote w:type="continuationSeparator" w:id="0">
    <w:p w14:paraId="0A26E3A1" w14:textId="77777777" w:rsidR="00BF25BE" w:rsidRDefault="00BF25BE" w:rsidP="0034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C65B" w14:textId="50A98B77" w:rsidR="00654B0A" w:rsidRPr="005034E7" w:rsidRDefault="00654B0A" w:rsidP="00C12A6B">
    <w:pPr>
      <w:pStyle w:val="Encabezado"/>
      <w:jc w:val="center"/>
    </w:pPr>
    <w:r>
      <w:rPr>
        <w:noProof/>
        <w:lang w:eastAsia="es-CO"/>
      </w:rPr>
      <w:drawing>
        <wp:anchor distT="0" distB="0" distL="0" distR="0" simplePos="0" relativeHeight="251662336" behindDoc="1" locked="0" layoutInCell="1" allowOverlap="1" wp14:anchorId="13582980" wp14:editId="72867F5C">
          <wp:simplePos x="0" y="0"/>
          <wp:positionH relativeFrom="margin">
            <wp:align>center</wp:align>
          </wp:positionH>
          <wp:positionV relativeFrom="page">
            <wp:align>top</wp:align>
          </wp:positionV>
          <wp:extent cx="1264920" cy="806496"/>
          <wp:effectExtent l="0" t="0" r="0" b="0"/>
          <wp:wrapThrough wrapText="bothSides">
            <wp:wrapPolygon edited="0">
              <wp:start x="0" y="0"/>
              <wp:lineTo x="0" y="20920"/>
              <wp:lineTo x="21145" y="20920"/>
              <wp:lineTo x="21145"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64920" cy="806496"/>
                  </a:xfrm>
                  <a:prstGeom prst="rect">
                    <a:avLst/>
                  </a:prstGeom>
                </pic:spPr>
              </pic:pic>
            </a:graphicData>
          </a:graphic>
          <wp14:sizeRelH relativeFrom="margin">
            <wp14:pctWidth>0</wp14:pctWidth>
          </wp14:sizeRelH>
          <wp14:sizeRelV relativeFrom="margin">
            <wp14:pctHeight>0</wp14:pctHeight>
          </wp14:sizeRelV>
        </wp:anchor>
      </w:drawing>
    </w:r>
  </w:p>
  <w:p w14:paraId="6CE86760" w14:textId="77777777" w:rsidR="00654B0A" w:rsidRDefault="00654B0A" w:rsidP="0034782A">
    <w:pPr>
      <w:pStyle w:val="Encabezado"/>
      <w:jc w:val="center"/>
    </w:pPr>
  </w:p>
  <w:p w14:paraId="2AD2B14E" w14:textId="77777777" w:rsidR="00654B0A" w:rsidRDefault="00654B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BCD5" w14:textId="2987489C" w:rsidR="00654B0A" w:rsidRDefault="00654B0A" w:rsidP="00142805">
    <w:pPr>
      <w:pStyle w:val="Encabezado"/>
      <w:jc w:val="center"/>
    </w:pPr>
    <w:r>
      <w:rPr>
        <w:noProof/>
        <w:lang w:eastAsia="es-CO"/>
      </w:rPr>
      <w:drawing>
        <wp:anchor distT="0" distB="0" distL="0" distR="0" simplePos="0" relativeHeight="251660288" behindDoc="1" locked="0" layoutInCell="1" allowOverlap="1" wp14:anchorId="7557F43A" wp14:editId="45F95A1E">
          <wp:simplePos x="0" y="0"/>
          <wp:positionH relativeFrom="margin">
            <wp:align>center</wp:align>
          </wp:positionH>
          <wp:positionV relativeFrom="page">
            <wp:posOffset>30480</wp:posOffset>
          </wp:positionV>
          <wp:extent cx="1264920" cy="806496"/>
          <wp:effectExtent l="0" t="0" r="0" b="0"/>
          <wp:wrapThrough wrapText="bothSides">
            <wp:wrapPolygon edited="0">
              <wp:start x="0" y="0"/>
              <wp:lineTo x="0" y="20920"/>
              <wp:lineTo x="21145" y="20920"/>
              <wp:lineTo x="21145" y="0"/>
              <wp:lineTo x="0" y="0"/>
            </wp:wrapPolygon>
          </wp:wrapThrough>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64920" cy="806496"/>
                  </a:xfrm>
                  <a:prstGeom prst="rect">
                    <a:avLst/>
                  </a:prstGeom>
                </pic:spPr>
              </pic:pic>
            </a:graphicData>
          </a:graphic>
          <wp14:sizeRelH relativeFrom="margin">
            <wp14:pctWidth>0</wp14:pctWidth>
          </wp14:sizeRelH>
          <wp14:sizeRelV relativeFrom="margin">
            <wp14:pctHeight>0</wp14:pctHeight>
          </wp14:sizeRelV>
        </wp:anchor>
      </w:drawing>
    </w:r>
  </w:p>
  <w:p w14:paraId="2988018A" w14:textId="77777777" w:rsidR="00654B0A" w:rsidRDefault="00654B0A" w:rsidP="00142805">
    <w:pPr>
      <w:pStyle w:val="Encabezado"/>
      <w:jc w:val="center"/>
    </w:pPr>
  </w:p>
  <w:p w14:paraId="2AA071CE" w14:textId="5D7340BC" w:rsidR="00654B0A" w:rsidRDefault="00654B0A" w:rsidP="0014280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613536"/>
    <w:multiLevelType w:val="hybridMultilevel"/>
    <w:tmpl w:val="7E29B9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A01B1"/>
    <w:multiLevelType w:val="hybridMultilevel"/>
    <w:tmpl w:val="1CAC3ADC"/>
    <w:lvl w:ilvl="0" w:tplc="240A0001">
      <w:start w:val="1"/>
      <w:numFmt w:val="bullet"/>
      <w:lvlText w:val=""/>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2" w15:restartNumberingAfterBreak="0">
    <w:nsid w:val="0B50315F"/>
    <w:multiLevelType w:val="hybridMultilevel"/>
    <w:tmpl w:val="703E67A8"/>
    <w:lvl w:ilvl="0" w:tplc="240A0001">
      <w:start w:val="1"/>
      <w:numFmt w:val="bullet"/>
      <w:lvlText w:val=""/>
      <w:lvlJc w:val="left"/>
      <w:pPr>
        <w:ind w:left="792" w:hanging="360"/>
      </w:pPr>
      <w:rPr>
        <w:rFonts w:ascii="Symbol" w:hAnsi="Symbol"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3" w15:restartNumberingAfterBreak="0">
    <w:nsid w:val="0BC12263"/>
    <w:multiLevelType w:val="multilevel"/>
    <w:tmpl w:val="EB465F8E"/>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0"/>
        </w:tabs>
        <w:ind w:left="1080" w:hanging="360"/>
      </w:pPr>
      <w:rPr>
        <w:rFonts w:ascii="Wingdings" w:hAnsi="Wingdings" w:cs="OpenSymbol"/>
        <w:sz w:val="24"/>
        <w:szCs w:val="24"/>
      </w:rPr>
    </w:lvl>
    <w:lvl w:ilvl="2">
      <w:start w:val="1"/>
      <w:numFmt w:val="bullet"/>
      <w:lvlText w:val=""/>
      <w:lvlJc w:val="left"/>
      <w:pPr>
        <w:tabs>
          <w:tab w:val="num" w:pos="0"/>
        </w:tabs>
        <w:ind w:left="1440" w:hanging="360"/>
      </w:pPr>
      <w:rPr>
        <w:rFonts w:ascii="Wingdings" w:hAnsi="Wingdings" w:cs="OpenSymbol"/>
        <w:sz w:val="24"/>
        <w:szCs w:val="24"/>
      </w:rPr>
    </w:lvl>
    <w:lvl w:ilvl="3">
      <w:start w:val="1"/>
      <w:numFmt w:val="bullet"/>
      <w:lvlText w:val=""/>
      <w:lvlJc w:val="left"/>
      <w:pPr>
        <w:tabs>
          <w:tab w:val="num" w:pos="0"/>
        </w:tabs>
        <w:ind w:left="1800" w:hanging="360"/>
      </w:pPr>
      <w:rPr>
        <w:rFonts w:ascii="Wingdings" w:hAnsi="Wingdings" w:cs="OpenSymbol"/>
        <w:sz w:val="24"/>
        <w:szCs w:val="24"/>
      </w:rPr>
    </w:lvl>
    <w:lvl w:ilvl="4">
      <w:start w:val="1"/>
      <w:numFmt w:val="bullet"/>
      <w:lvlText w:val=""/>
      <w:lvlJc w:val="left"/>
      <w:pPr>
        <w:tabs>
          <w:tab w:val="num" w:pos="0"/>
        </w:tabs>
        <w:ind w:left="2160" w:hanging="360"/>
      </w:pPr>
      <w:rPr>
        <w:rFonts w:ascii="Wingdings" w:hAnsi="Wingdings" w:cs="OpenSymbol"/>
        <w:sz w:val="24"/>
        <w:szCs w:val="24"/>
      </w:rPr>
    </w:lvl>
    <w:lvl w:ilvl="5">
      <w:start w:val="1"/>
      <w:numFmt w:val="bullet"/>
      <w:lvlText w:val=""/>
      <w:lvlJc w:val="left"/>
      <w:pPr>
        <w:tabs>
          <w:tab w:val="num" w:pos="0"/>
        </w:tabs>
        <w:ind w:left="2520" w:hanging="360"/>
      </w:pPr>
      <w:rPr>
        <w:rFonts w:ascii="Wingdings" w:hAnsi="Wingdings" w:cs="OpenSymbol"/>
        <w:sz w:val="24"/>
        <w:szCs w:val="24"/>
      </w:rPr>
    </w:lvl>
    <w:lvl w:ilvl="6">
      <w:start w:val="1"/>
      <w:numFmt w:val="bullet"/>
      <w:lvlText w:val=""/>
      <w:lvlJc w:val="left"/>
      <w:pPr>
        <w:tabs>
          <w:tab w:val="num" w:pos="0"/>
        </w:tabs>
        <w:ind w:left="2880" w:hanging="360"/>
      </w:pPr>
      <w:rPr>
        <w:rFonts w:ascii="Wingdings" w:hAnsi="Wingdings" w:cs="OpenSymbol"/>
        <w:sz w:val="24"/>
        <w:szCs w:val="24"/>
      </w:rPr>
    </w:lvl>
    <w:lvl w:ilvl="7">
      <w:start w:val="1"/>
      <w:numFmt w:val="bullet"/>
      <w:lvlText w:val=""/>
      <w:lvlJc w:val="left"/>
      <w:pPr>
        <w:tabs>
          <w:tab w:val="num" w:pos="0"/>
        </w:tabs>
        <w:ind w:left="3240" w:hanging="360"/>
      </w:pPr>
      <w:rPr>
        <w:rFonts w:ascii="Wingdings" w:hAnsi="Wingdings" w:cs="OpenSymbol"/>
        <w:sz w:val="24"/>
        <w:szCs w:val="24"/>
      </w:rPr>
    </w:lvl>
    <w:lvl w:ilvl="8">
      <w:start w:val="1"/>
      <w:numFmt w:val="bullet"/>
      <w:lvlText w:val=""/>
      <w:lvlJc w:val="left"/>
      <w:pPr>
        <w:tabs>
          <w:tab w:val="num" w:pos="0"/>
        </w:tabs>
        <w:ind w:left="3600" w:hanging="360"/>
      </w:pPr>
      <w:rPr>
        <w:rFonts w:ascii="Wingdings" w:hAnsi="Wingdings" w:cs="OpenSymbol"/>
        <w:sz w:val="24"/>
        <w:szCs w:val="24"/>
      </w:rPr>
    </w:lvl>
  </w:abstractNum>
  <w:abstractNum w:abstractNumId="4" w15:restartNumberingAfterBreak="0">
    <w:nsid w:val="12237BFA"/>
    <w:multiLevelType w:val="hybridMultilevel"/>
    <w:tmpl w:val="FA2290FA"/>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F80EA4"/>
    <w:multiLevelType w:val="hybridMultilevel"/>
    <w:tmpl w:val="7AB8550A"/>
    <w:lvl w:ilvl="0" w:tplc="BC3E0788">
      <w:start w:val="1"/>
      <w:numFmt w:val="decimal"/>
      <w:lvlText w:val="%1."/>
      <w:lvlJc w:val="left"/>
      <w:pPr>
        <w:ind w:left="720" w:hanging="360"/>
      </w:pPr>
      <w:rPr>
        <w:rFonts w:cs="Times New Roman"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AD61D2"/>
    <w:multiLevelType w:val="hybridMultilevel"/>
    <w:tmpl w:val="660408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0362F2"/>
    <w:multiLevelType w:val="hybridMultilevel"/>
    <w:tmpl w:val="24F63EAE"/>
    <w:lvl w:ilvl="0" w:tplc="FFFFFFFF">
      <w:start w:val="1"/>
      <w:numFmt w:val="bullet"/>
      <w:lvlText w:val="•"/>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0DA5FA9"/>
    <w:multiLevelType w:val="hybridMultilevel"/>
    <w:tmpl w:val="43D47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520BA7"/>
    <w:multiLevelType w:val="hybridMultilevel"/>
    <w:tmpl w:val="B2DE6A10"/>
    <w:lvl w:ilvl="0" w:tplc="446068E6">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8B3666"/>
    <w:multiLevelType w:val="hybridMultilevel"/>
    <w:tmpl w:val="8189EE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43C2316"/>
    <w:multiLevelType w:val="multilevel"/>
    <w:tmpl w:val="4DAE75EC"/>
    <w:lvl w:ilvl="0">
      <w:start w:val="5"/>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A1C0437"/>
    <w:multiLevelType w:val="hybridMultilevel"/>
    <w:tmpl w:val="D48A43E6"/>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E7D0FCA"/>
    <w:multiLevelType w:val="hybridMultilevel"/>
    <w:tmpl w:val="E618E7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4158BF"/>
    <w:multiLevelType w:val="hybridMultilevel"/>
    <w:tmpl w:val="D8C476F6"/>
    <w:lvl w:ilvl="0" w:tplc="446068E6">
      <w:start w:val="4"/>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0"/>
  </w:num>
  <w:num w:numId="4">
    <w:abstractNumId w:val="2"/>
  </w:num>
  <w:num w:numId="5">
    <w:abstractNumId w:val="1"/>
  </w:num>
  <w:num w:numId="6">
    <w:abstractNumId w:val="0"/>
  </w:num>
  <w:num w:numId="7">
    <w:abstractNumId w:val="13"/>
  </w:num>
  <w:num w:numId="8">
    <w:abstractNumId w:val="8"/>
  </w:num>
  <w:num w:numId="9">
    <w:abstractNumId w:val="4"/>
  </w:num>
  <w:num w:numId="10">
    <w:abstractNumId w:val="12"/>
  </w:num>
  <w:num w:numId="11">
    <w:abstractNumId w:val="9"/>
  </w:num>
  <w:num w:numId="12">
    <w:abstractNumId w:val="14"/>
  </w:num>
  <w:num w:numId="13">
    <w:abstractNumId w:val="7"/>
  </w:num>
  <w:num w:numId="14">
    <w:abstractNumId w:val="6"/>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003FB"/>
    <w:rsid w:val="00010895"/>
    <w:rsid w:val="00010D11"/>
    <w:rsid w:val="00011E87"/>
    <w:rsid w:val="000167A4"/>
    <w:rsid w:val="0001792A"/>
    <w:rsid w:val="00020134"/>
    <w:rsid w:val="00022DB6"/>
    <w:rsid w:val="00024290"/>
    <w:rsid w:val="000244BA"/>
    <w:rsid w:val="000248A7"/>
    <w:rsid w:val="000267DF"/>
    <w:rsid w:val="00027121"/>
    <w:rsid w:val="000271D3"/>
    <w:rsid w:val="000304E3"/>
    <w:rsid w:val="00031987"/>
    <w:rsid w:val="00035690"/>
    <w:rsid w:val="0003625F"/>
    <w:rsid w:val="00036AD5"/>
    <w:rsid w:val="00040412"/>
    <w:rsid w:val="0004117E"/>
    <w:rsid w:val="0004479D"/>
    <w:rsid w:val="00044820"/>
    <w:rsid w:val="00044957"/>
    <w:rsid w:val="000451F6"/>
    <w:rsid w:val="00045324"/>
    <w:rsid w:val="00046C32"/>
    <w:rsid w:val="00046CA6"/>
    <w:rsid w:val="00047B1A"/>
    <w:rsid w:val="00050403"/>
    <w:rsid w:val="000506E6"/>
    <w:rsid w:val="00051349"/>
    <w:rsid w:val="000514C6"/>
    <w:rsid w:val="00052FE0"/>
    <w:rsid w:val="000576BA"/>
    <w:rsid w:val="0006076C"/>
    <w:rsid w:val="000621D8"/>
    <w:rsid w:val="00062A14"/>
    <w:rsid w:val="00063393"/>
    <w:rsid w:val="00066AE7"/>
    <w:rsid w:val="00071954"/>
    <w:rsid w:val="000722F7"/>
    <w:rsid w:val="00074089"/>
    <w:rsid w:val="00074183"/>
    <w:rsid w:val="00075288"/>
    <w:rsid w:val="000771A2"/>
    <w:rsid w:val="0008124F"/>
    <w:rsid w:val="00081265"/>
    <w:rsid w:val="00083317"/>
    <w:rsid w:val="000837DD"/>
    <w:rsid w:val="0009026C"/>
    <w:rsid w:val="00091C78"/>
    <w:rsid w:val="0009312F"/>
    <w:rsid w:val="0009431F"/>
    <w:rsid w:val="00094416"/>
    <w:rsid w:val="0009463C"/>
    <w:rsid w:val="000951C9"/>
    <w:rsid w:val="000955D9"/>
    <w:rsid w:val="000A04EE"/>
    <w:rsid w:val="000A1179"/>
    <w:rsid w:val="000A3C24"/>
    <w:rsid w:val="000A6248"/>
    <w:rsid w:val="000A6BD2"/>
    <w:rsid w:val="000B0E87"/>
    <w:rsid w:val="000B0F0A"/>
    <w:rsid w:val="000B174C"/>
    <w:rsid w:val="000B77FA"/>
    <w:rsid w:val="000C0423"/>
    <w:rsid w:val="000C176B"/>
    <w:rsid w:val="000C424E"/>
    <w:rsid w:val="000C43C0"/>
    <w:rsid w:val="000C7FED"/>
    <w:rsid w:val="000D2912"/>
    <w:rsid w:val="000D29A4"/>
    <w:rsid w:val="000D3424"/>
    <w:rsid w:val="000D4678"/>
    <w:rsid w:val="000D5760"/>
    <w:rsid w:val="000E1636"/>
    <w:rsid w:val="000E32D9"/>
    <w:rsid w:val="000E4F14"/>
    <w:rsid w:val="000E50F9"/>
    <w:rsid w:val="000E57C6"/>
    <w:rsid w:val="000E5B4D"/>
    <w:rsid w:val="000E6C9E"/>
    <w:rsid w:val="000E7084"/>
    <w:rsid w:val="000E74CD"/>
    <w:rsid w:val="000F232B"/>
    <w:rsid w:val="000F2D8B"/>
    <w:rsid w:val="000F3889"/>
    <w:rsid w:val="000F50DE"/>
    <w:rsid w:val="000F53D9"/>
    <w:rsid w:val="000F5ADC"/>
    <w:rsid w:val="000F606A"/>
    <w:rsid w:val="000F6663"/>
    <w:rsid w:val="001004B4"/>
    <w:rsid w:val="00102CE9"/>
    <w:rsid w:val="00103E7C"/>
    <w:rsid w:val="0010618B"/>
    <w:rsid w:val="00111201"/>
    <w:rsid w:val="00111F4B"/>
    <w:rsid w:val="001127A1"/>
    <w:rsid w:val="00114DBF"/>
    <w:rsid w:val="00115A7D"/>
    <w:rsid w:val="00115B31"/>
    <w:rsid w:val="00115CE8"/>
    <w:rsid w:val="00115F32"/>
    <w:rsid w:val="001161E8"/>
    <w:rsid w:val="0011705C"/>
    <w:rsid w:val="001174EA"/>
    <w:rsid w:val="0011756A"/>
    <w:rsid w:val="00117CCE"/>
    <w:rsid w:val="00120BF9"/>
    <w:rsid w:val="00121F3F"/>
    <w:rsid w:val="00122EA2"/>
    <w:rsid w:val="00123F26"/>
    <w:rsid w:val="00125E77"/>
    <w:rsid w:val="00125FD7"/>
    <w:rsid w:val="00126AED"/>
    <w:rsid w:val="001270D3"/>
    <w:rsid w:val="00127FBE"/>
    <w:rsid w:val="0013726C"/>
    <w:rsid w:val="00140EF2"/>
    <w:rsid w:val="00141C9E"/>
    <w:rsid w:val="00142805"/>
    <w:rsid w:val="00143379"/>
    <w:rsid w:val="00143753"/>
    <w:rsid w:val="00143A72"/>
    <w:rsid w:val="0014415B"/>
    <w:rsid w:val="00144ED1"/>
    <w:rsid w:val="00147056"/>
    <w:rsid w:val="0014742E"/>
    <w:rsid w:val="001475ED"/>
    <w:rsid w:val="0015135E"/>
    <w:rsid w:val="00155132"/>
    <w:rsid w:val="0015710C"/>
    <w:rsid w:val="00157CA2"/>
    <w:rsid w:val="00160780"/>
    <w:rsid w:val="00160BBD"/>
    <w:rsid w:val="00161B43"/>
    <w:rsid w:val="001642FD"/>
    <w:rsid w:val="00165F8E"/>
    <w:rsid w:val="00167E9F"/>
    <w:rsid w:val="00170752"/>
    <w:rsid w:val="001710C1"/>
    <w:rsid w:val="00172147"/>
    <w:rsid w:val="00173F19"/>
    <w:rsid w:val="001752F0"/>
    <w:rsid w:val="001758FC"/>
    <w:rsid w:val="001765F1"/>
    <w:rsid w:val="001812A2"/>
    <w:rsid w:val="00181CC2"/>
    <w:rsid w:val="001835E6"/>
    <w:rsid w:val="001855A6"/>
    <w:rsid w:val="00186797"/>
    <w:rsid w:val="001872A7"/>
    <w:rsid w:val="00187CE5"/>
    <w:rsid w:val="00187F9D"/>
    <w:rsid w:val="0019013A"/>
    <w:rsid w:val="001951DB"/>
    <w:rsid w:val="00195FA6"/>
    <w:rsid w:val="00196426"/>
    <w:rsid w:val="001A1B7D"/>
    <w:rsid w:val="001A4E55"/>
    <w:rsid w:val="001A501E"/>
    <w:rsid w:val="001A733F"/>
    <w:rsid w:val="001B12E2"/>
    <w:rsid w:val="001B26D7"/>
    <w:rsid w:val="001C0A00"/>
    <w:rsid w:val="001C135E"/>
    <w:rsid w:val="001C2061"/>
    <w:rsid w:val="001C395D"/>
    <w:rsid w:val="001C42ED"/>
    <w:rsid w:val="001C4FE3"/>
    <w:rsid w:val="001C68FD"/>
    <w:rsid w:val="001C7884"/>
    <w:rsid w:val="001D2F13"/>
    <w:rsid w:val="001D5BA5"/>
    <w:rsid w:val="001D6765"/>
    <w:rsid w:val="001E0C54"/>
    <w:rsid w:val="001E1A45"/>
    <w:rsid w:val="001E211E"/>
    <w:rsid w:val="001E3225"/>
    <w:rsid w:val="001E335F"/>
    <w:rsid w:val="001E3B58"/>
    <w:rsid w:val="001E46DA"/>
    <w:rsid w:val="001E4D4C"/>
    <w:rsid w:val="001E4DBF"/>
    <w:rsid w:val="001E6F76"/>
    <w:rsid w:val="001E73E3"/>
    <w:rsid w:val="001E7D13"/>
    <w:rsid w:val="001F11AA"/>
    <w:rsid w:val="001F1EAA"/>
    <w:rsid w:val="001F2E14"/>
    <w:rsid w:val="001F54ED"/>
    <w:rsid w:val="001F7230"/>
    <w:rsid w:val="00200435"/>
    <w:rsid w:val="00201825"/>
    <w:rsid w:val="002021B2"/>
    <w:rsid w:val="00204897"/>
    <w:rsid w:val="00204B7C"/>
    <w:rsid w:val="002078B8"/>
    <w:rsid w:val="002079B1"/>
    <w:rsid w:val="002129B1"/>
    <w:rsid w:val="00214E66"/>
    <w:rsid w:val="00220060"/>
    <w:rsid w:val="0022592A"/>
    <w:rsid w:val="0023277C"/>
    <w:rsid w:val="00232CFC"/>
    <w:rsid w:val="002331A0"/>
    <w:rsid w:val="002343EA"/>
    <w:rsid w:val="00235AE2"/>
    <w:rsid w:val="002364B7"/>
    <w:rsid w:val="0023762D"/>
    <w:rsid w:val="00240C9B"/>
    <w:rsid w:val="002426A5"/>
    <w:rsid w:val="00242DDE"/>
    <w:rsid w:val="00245D04"/>
    <w:rsid w:val="002466B7"/>
    <w:rsid w:val="0025216C"/>
    <w:rsid w:val="00252EAB"/>
    <w:rsid w:val="002555B3"/>
    <w:rsid w:val="002623EB"/>
    <w:rsid w:val="00262616"/>
    <w:rsid w:val="00262717"/>
    <w:rsid w:val="00262771"/>
    <w:rsid w:val="00263034"/>
    <w:rsid w:val="00263464"/>
    <w:rsid w:val="002642C7"/>
    <w:rsid w:val="00264DBC"/>
    <w:rsid w:val="00265684"/>
    <w:rsid w:val="002667A6"/>
    <w:rsid w:val="00266867"/>
    <w:rsid w:val="00266AE0"/>
    <w:rsid w:val="002707A9"/>
    <w:rsid w:val="00270BF5"/>
    <w:rsid w:val="00270CD8"/>
    <w:rsid w:val="00273049"/>
    <w:rsid w:val="002754D2"/>
    <w:rsid w:val="00277663"/>
    <w:rsid w:val="00284EF3"/>
    <w:rsid w:val="00284F79"/>
    <w:rsid w:val="00286941"/>
    <w:rsid w:val="00286A8C"/>
    <w:rsid w:val="00287BD0"/>
    <w:rsid w:val="002902FB"/>
    <w:rsid w:val="00290522"/>
    <w:rsid w:val="00290E0B"/>
    <w:rsid w:val="00291187"/>
    <w:rsid w:val="00291534"/>
    <w:rsid w:val="002929B0"/>
    <w:rsid w:val="002A0611"/>
    <w:rsid w:val="002A14D1"/>
    <w:rsid w:val="002A1C66"/>
    <w:rsid w:val="002A33C9"/>
    <w:rsid w:val="002A3BA8"/>
    <w:rsid w:val="002A4E92"/>
    <w:rsid w:val="002A5943"/>
    <w:rsid w:val="002A752A"/>
    <w:rsid w:val="002A7FE9"/>
    <w:rsid w:val="002B0B25"/>
    <w:rsid w:val="002B0E90"/>
    <w:rsid w:val="002B1A40"/>
    <w:rsid w:val="002B202D"/>
    <w:rsid w:val="002B5F79"/>
    <w:rsid w:val="002B6188"/>
    <w:rsid w:val="002B6672"/>
    <w:rsid w:val="002B68AA"/>
    <w:rsid w:val="002C0B76"/>
    <w:rsid w:val="002C1DC5"/>
    <w:rsid w:val="002C409F"/>
    <w:rsid w:val="002C48BC"/>
    <w:rsid w:val="002C4C7F"/>
    <w:rsid w:val="002C61A7"/>
    <w:rsid w:val="002C6C87"/>
    <w:rsid w:val="002C7A16"/>
    <w:rsid w:val="002D0E96"/>
    <w:rsid w:val="002D4EC9"/>
    <w:rsid w:val="002D528F"/>
    <w:rsid w:val="002D53CB"/>
    <w:rsid w:val="002E036A"/>
    <w:rsid w:val="002E12C1"/>
    <w:rsid w:val="002E59A4"/>
    <w:rsid w:val="002E63F3"/>
    <w:rsid w:val="002E7A9D"/>
    <w:rsid w:val="002E7D3C"/>
    <w:rsid w:val="002F37B6"/>
    <w:rsid w:val="002F5CD0"/>
    <w:rsid w:val="002F609B"/>
    <w:rsid w:val="002F7D1F"/>
    <w:rsid w:val="0030138A"/>
    <w:rsid w:val="00301D14"/>
    <w:rsid w:val="00301E79"/>
    <w:rsid w:val="00301F28"/>
    <w:rsid w:val="0030216D"/>
    <w:rsid w:val="00302889"/>
    <w:rsid w:val="00303D9C"/>
    <w:rsid w:val="00303FB0"/>
    <w:rsid w:val="00304329"/>
    <w:rsid w:val="003060B9"/>
    <w:rsid w:val="00310507"/>
    <w:rsid w:val="00310F7A"/>
    <w:rsid w:val="0031277B"/>
    <w:rsid w:val="00312D7A"/>
    <w:rsid w:val="00313C8C"/>
    <w:rsid w:val="0031539E"/>
    <w:rsid w:val="00320A2D"/>
    <w:rsid w:val="00321286"/>
    <w:rsid w:val="00327F9D"/>
    <w:rsid w:val="00330991"/>
    <w:rsid w:val="003319B7"/>
    <w:rsid w:val="0033210B"/>
    <w:rsid w:val="00333EA1"/>
    <w:rsid w:val="003349D3"/>
    <w:rsid w:val="0033632F"/>
    <w:rsid w:val="00336DCA"/>
    <w:rsid w:val="00336F2B"/>
    <w:rsid w:val="00337FCB"/>
    <w:rsid w:val="003411AC"/>
    <w:rsid w:val="00341E10"/>
    <w:rsid w:val="0034420A"/>
    <w:rsid w:val="003446EA"/>
    <w:rsid w:val="00344FEB"/>
    <w:rsid w:val="0034560A"/>
    <w:rsid w:val="003457AE"/>
    <w:rsid w:val="003467CC"/>
    <w:rsid w:val="0034782A"/>
    <w:rsid w:val="00350388"/>
    <w:rsid w:val="00351737"/>
    <w:rsid w:val="00351CCF"/>
    <w:rsid w:val="0035410D"/>
    <w:rsid w:val="003559A5"/>
    <w:rsid w:val="003564F3"/>
    <w:rsid w:val="00362468"/>
    <w:rsid w:val="00362C19"/>
    <w:rsid w:val="00365492"/>
    <w:rsid w:val="00365B02"/>
    <w:rsid w:val="003664C3"/>
    <w:rsid w:val="00366F89"/>
    <w:rsid w:val="00370719"/>
    <w:rsid w:val="003733D6"/>
    <w:rsid w:val="00375448"/>
    <w:rsid w:val="00376FBD"/>
    <w:rsid w:val="0037738E"/>
    <w:rsid w:val="00380ECE"/>
    <w:rsid w:val="003812D9"/>
    <w:rsid w:val="00383DED"/>
    <w:rsid w:val="00385CFC"/>
    <w:rsid w:val="00386D8A"/>
    <w:rsid w:val="00391B99"/>
    <w:rsid w:val="003935FB"/>
    <w:rsid w:val="003950FC"/>
    <w:rsid w:val="00395DA2"/>
    <w:rsid w:val="003A07B6"/>
    <w:rsid w:val="003A10A2"/>
    <w:rsid w:val="003A17EB"/>
    <w:rsid w:val="003A371A"/>
    <w:rsid w:val="003A4487"/>
    <w:rsid w:val="003A4BB5"/>
    <w:rsid w:val="003A4E07"/>
    <w:rsid w:val="003A5AE0"/>
    <w:rsid w:val="003A704A"/>
    <w:rsid w:val="003A75EF"/>
    <w:rsid w:val="003A7B73"/>
    <w:rsid w:val="003A7FAD"/>
    <w:rsid w:val="003B0156"/>
    <w:rsid w:val="003B1039"/>
    <w:rsid w:val="003B3D5C"/>
    <w:rsid w:val="003B424E"/>
    <w:rsid w:val="003B5CA0"/>
    <w:rsid w:val="003B6829"/>
    <w:rsid w:val="003B6E1C"/>
    <w:rsid w:val="003C3959"/>
    <w:rsid w:val="003C5208"/>
    <w:rsid w:val="003C5FF8"/>
    <w:rsid w:val="003C7E03"/>
    <w:rsid w:val="003D129F"/>
    <w:rsid w:val="003D2C40"/>
    <w:rsid w:val="003D6FE9"/>
    <w:rsid w:val="003D7285"/>
    <w:rsid w:val="003E1221"/>
    <w:rsid w:val="003E3089"/>
    <w:rsid w:val="003E317B"/>
    <w:rsid w:val="003E539D"/>
    <w:rsid w:val="003E5B1E"/>
    <w:rsid w:val="003F3DD4"/>
    <w:rsid w:val="003F439F"/>
    <w:rsid w:val="003F5F88"/>
    <w:rsid w:val="003F7604"/>
    <w:rsid w:val="003F7DED"/>
    <w:rsid w:val="0040125F"/>
    <w:rsid w:val="00401837"/>
    <w:rsid w:val="00403D91"/>
    <w:rsid w:val="00404F6C"/>
    <w:rsid w:val="00405AE9"/>
    <w:rsid w:val="0040617F"/>
    <w:rsid w:val="00407719"/>
    <w:rsid w:val="00407889"/>
    <w:rsid w:val="00407C32"/>
    <w:rsid w:val="0041143B"/>
    <w:rsid w:val="00411650"/>
    <w:rsid w:val="0041393D"/>
    <w:rsid w:val="00414F4A"/>
    <w:rsid w:val="0041571B"/>
    <w:rsid w:val="00417E50"/>
    <w:rsid w:val="004204B6"/>
    <w:rsid w:val="004216A9"/>
    <w:rsid w:val="004247FE"/>
    <w:rsid w:val="00424E6F"/>
    <w:rsid w:val="004252F6"/>
    <w:rsid w:val="0042543F"/>
    <w:rsid w:val="0042588F"/>
    <w:rsid w:val="004319CB"/>
    <w:rsid w:val="0043211F"/>
    <w:rsid w:val="00432D1D"/>
    <w:rsid w:val="00433FA8"/>
    <w:rsid w:val="004344CF"/>
    <w:rsid w:val="00434EE5"/>
    <w:rsid w:val="00434FEE"/>
    <w:rsid w:val="00440280"/>
    <w:rsid w:val="00441B1D"/>
    <w:rsid w:val="00441B6A"/>
    <w:rsid w:val="0044277E"/>
    <w:rsid w:val="00444A31"/>
    <w:rsid w:val="004477B7"/>
    <w:rsid w:val="004501A8"/>
    <w:rsid w:val="00450585"/>
    <w:rsid w:val="00453F3A"/>
    <w:rsid w:val="00454DBD"/>
    <w:rsid w:val="00460D4F"/>
    <w:rsid w:val="00461CBB"/>
    <w:rsid w:val="00463116"/>
    <w:rsid w:val="004645FB"/>
    <w:rsid w:val="00464656"/>
    <w:rsid w:val="00464F00"/>
    <w:rsid w:val="00466200"/>
    <w:rsid w:val="004667B6"/>
    <w:rsid w:val="004706F4"/>
    <w:rsid w:val="00474549"/>
    <w:rsid w:val="00476510"/>
    <w:rsid w:val="004767B8"/>
    <w:rsid w:val="004814EE"/>
    <w:rsid w:val="004819CF"/>
    <w:rsid w:val="00481F07"/>
    <w:rsid w:val="00483053"/>
    <w:rsid w:val="00485B14"/>
    <w:rsid w:val="00485FCC"/>
    <w:rsid w:val="0049037B"/>
    <w:rsid w:val="00493C62"/>
    <w:rsid w:val="004965A9"/>
    <w:rsid w:val="004A0DF7"/>
    <w:rsid w:val="004A19C8"/>
    <w:rsid w:val="004A25CE"/>
    <w:rsid w:val="004A4059"/>
    <w:rsid w:val="004A58B9"/>
    <w:rsid w:val="004A6E0A"/>
    <w:rsid w:val="004A72FB"/>
    <w:rsid w:val="004B3EC0"/>
    <w:rsid w:val="004B46DD"/>
    <w:rsid w:val="004B4F9E"/>
    <w:rsid w:val="004B56F9"/>
    <w:rsid w:val="004B6AEB"/>
    <w:rsid w:val="004B77FF"/>
    <w:rsid w:val="004C0873"/>
    <w:rsid w:val="004C0905"/>
    <w:rsid w:val="004C0AAE"/>
    <w:rsid w:val="004C133A"/>
    <w:rsid w:val="004C518F"/>
    <w:rsid w:val="004C5A10"/>
    <w:rsid w:val="004C7692"/>
    <w:rsid w:val="004D05BC"/>
    <w:rsid w:val="004D076C"/>
    <w:rsid w:val="004D0B36"/>
    <w:rsid w:val="004D2122"/>
    <w:rsid w:val="004D46C7"/>
    <w:rsid w:val="004D5085"/>
    <w:rsid w:val="004D50C2"/>
    <w:rsid w:val="004D594C"/>
    <w:rsid w:val="004D5FB9"/>
    <w:rsid w:val="004D7435"/>
    <w:rsid w:val="004E0062"/>
    <w:rsid w:val="004E0338"/>
    <w:rsid w:val="004E199D"/>
    <w:rsid w:val="004E1C4F"/>
    <w:rsid w:val="004E66BB"/>
    <w:rsid w:val="004E7424"/>
    <w:rsid w:val="004F047E"/>
    <w:rsid w:val="004F572C"/>
    <w:rsid w:val="004F76EF"/>
    <w:rsid w:val="005019AE"/>
    <w:rsid w:val="00502240"/>
    <w:rsid w:val="00503079"/>
    <w:rsid w:val="005034E7"/>
    <w:rsid w:val="00503D7B"/>
    <w:rsid w:val="00504DB4"/>
    <w:rsid w:val="00505A29"/>
    <w:rsid w:val="00506E01"/>
    <w:rsid w:val="005070CC"/>
    <w:rsid w:val="00507615"/>
    <w:rsid w:val="005106E8"/>
    <w:rsid w:val="00511E7F"/>
    <w:rsid w:val="00512877"/>
    <w:rsid w:val="005139E8"/>
    <w:rsid w:val="005147DC"/>
    <w:rsid w:val="00520010"/>
    <w:rsid w:val="0052077F"/>
    <w:rsid w:val="00521E56"/>
    <w:rsid w:val="005224B7"/>
    <w:rsid w:val="005229BC"/>
    <w:rsid w:val="00526D37"/>
    <w:rsid w:val="0053181E"/>
    <w:rsid w:val="00531DBE"/>
    <w:rsid w:val="00533220"/>
    <w:rsid w:val="00534190"/>
    <w:rsid w:val="005352D6"/>
    <w:rsid w:val="005356D9"/>
    <w:rsid w:val="00542427"/>
    <w:rsid w:val="005430E0"/>
    <w:rsid w:val="00543DE6"/>
    <w:rsid w:val="00544EE6"/>
    <w:rsid w:val="00547A10"/>
    <w:rsid w:val="00550B6A"/>
    <w:rsid w:val="005523FA"/>
    <w:rsid w:val="00552E87"/>
    <w:rsid w:val="00553411"/>
    <w:rsid w:val="00554428"/>
    <w:rsid w:val="00557450"/>
    <w:rsid w:val="005610C1"/>
    <w:rsid w:val="00562857"/>
    <w:rsid w:val="00563626"/>
    <w:rsid w:val="00563C54"/>
    <w:rsid w:val="00564136"/>
    <w:rsid w:val="005642CF"/>
    <w:rsid w:val="0056568E"/>
    <w:rsid w:val="005700CE"/>
    <w:rsid w:val="0057030F"/>
    <w:rsid w:val="00570BF6"/>
    <w:rsid w:val="00573D92"/>
    <w:rsid w:val="005744EB"/>
    <w:rsid w:val="00575CFB"/>
    <w:rsid w:val="00576C64"/>
    <w:rsid w:val="00577D00"/>
    <w:rsid w:val="0058113B"/>
    <w:rsid w:val="00583E7C"/>
    <w:rsid w:val="00584B58"/>
    <w:rsid w:val="0058531C"/>
    <w:rsid w:val="00585C4F"/>
    <w:rsid w:val="00591688"/>
    <w:rsid w:val="005A0178"/>
    <w:rsid w:val="005A017B"/>
    <w:rsid w:val="005A05A3"/>
    <w:rsid w:val="005A116B"/>
    <w:rsid w:val="005A4619"/>
    <w:rsid w:val="005A4643"/>
    <w:rsid w:val="005A6261"/>
    <w:rsid w:val="005A63C7"/>
    <w:rsid w:val="005A6A95"/>
    <w:rsid w:val="005A7646"/>
    <w:rsid w:val="005B02B1"/>
    <w:rsid w:val="005B0A5B"/>
    <w:rsid w:val="005B0DCC"/>
    <w:rsid w:val="005B1FF9"/>
    <w:rsid w:val="005B3ADC"/>
    <w:rsid w:val="005B4421"/>
    <w:rsid w:val="005B5B4B"/>
    <w:rsid w:val="005B6FCE"/>
    <w:rsid w:val="005B74C4"/>
    <w:rsid w:val="005C1E54"/>
    <w:rsid w:val="005C2750"/>
    <w:rsid w:val="005C6360"/>
    <w:rsid w:val="005C6B1A"/>
    <w:rsid w:val="005D107C"/>
    <w:rsid w:val="005D236D"/>
    <w:rsid w:val="005D402B"/>
    <w:rsid w:val="005D49AC"/>
    <w:rsid w:val="005D74D1"/>
    <w:rsid w:val="005E0E98"/>
    <w:rsid w:val="005E1FE3"/>
    <w:rsid w:val="005E7543"/>
    <w:rsid w:val="005F66E7"/>
    <w:rsid w:val="006006C6"/>
    <w:rsid w:val="00600DB1"/>
    <w:rsid w:val="006058C8"/>
    <w:rsid w:val="00606164"/>
    <w:rsid w:val="0061696A"/>
    <w:rsid w:val="00617749"/>
    <w:rsid w:val="00617D26"/>
    <w:rsid w:val="00620CEE"/>
    <w:rsid w:val="00622DB8"/>
    <w:rsid w:val="006240EC"/>
    <w:rsid w:val="006247A1"/>
    <w:rsid w:val="0062593B"/>
    <w:rsid w:val="00625CE4"/>
    <w:rsid w:val="0062603F"/>
    <w:rsid w:val="00630E71"/>
    <w:rsid w:val="00633C85"/>
    <w:rsid w:val="006366BE"/>
    <w:rsid w:val="00636CF8"/>
    <w:rsid w:val="006406C3"/>
    <w:rsid w:val="00641578"/>
    <w:rsid w:val="00641A99"/>
    <w:rsid w:val="006425C1"/>
    <w:rsid w:val="006430C9"/>
    <w:rsid w:val="00643998"/>
    <w:rsid w:val="0064673B"/>
    <w:rsid w:val="00647C23"/>
    <w:rsid w:val="00647C42"/>
    <w:rsid w:val="0065078F"/>
    <w:rsid w:val="00651086"/>
    <w:rsid w:val="00651275"/>
    <w:rsid w:val="00651D1A"/>
    <w:rsid w:val="00652CD5"/>
    <w:rsid w:val="00652F08"/>
    <w:rsid w:val="00654B0A"/>
    <w:rsid w:val="00655B0E"/>
    <w:rsid w:val="006568B0"/>
    <w:rsid w:val="00662127"/>
    <w:rsid w:val="0066270A"/>
    <w:rsid w:val="006643F1"/>
    <w:rsid w:val="00665C92"/>
    <w:rsid w:val="00667485"/>
    <w:rsid w:val="006675CC"/>
    <w:rsid w:val="0067133A"/>
    <w:rsid w:val="00674F93"/>
    <w:rsid w:val="006753EF"/>
    <w:rsid w:val="00677C01"/>
    <w:rsid w:val="00681349"/>
    <w:rsid w:val="00681392"/>
    <w:rsid w:val="00681DD6"/>
    <w:rsid w:val="0068229C"/>
    <w:rsid w:val="006829BF"/>
    <w:rsid w:val="006830F9"/>
    <w:rsid w:val="00683761"/>
    <w:rsid w:val="006861AE"/>
    <w:rsid w:val="006870F4"/>
    <w:rsid w:val="00692CF4"/>
    <w:rsid w:val="00692ECD"/>
    <w:rsid w:val="00697F6A"/>
    <w:rsid w:val="006A224D"/>
    <w:rsid w:val="006A5509"/>
    <w:rsid w:val="006A6CB4"/>
    <w:rsid w:val="006A7466"/>
    <w:rsid w:val="006B0DD5"/>
    <w:rsid w:val="006B2180"/>
    <w:rsid w:val="006B2685"/>
    <w:rsid w:val="006B487D"/>
    <w:rsid w:val="006B4C13"/>
    <w:rsid w:val="006B519B"/>
    <w:rsid w:val="006B7AEB"/>
    <w:rsid w:val="006C2069"/>
    <w:rsid w:val="006C2296"/>
    <w:rsid w:val="006C33BB"/>
    <w:rsid w:val="006C603E"/>
    <w:rsid w:val="006D0CE1"/>
    <w:rsid w:val="006D10EC"/>
    <w:rsid w:val="006D1126"/>
    <w:rsid w:val="006D241A"/>
    <w:rsid w:val="006D2D03"/>
    <w:rsid w:val="006D55DC"/>
    <w:rsid w:val="006D598D"/>
    <w:rsid w:val="006E037D"/>
    <w:rsid w:val="006E04EF"/>
    <w:rsid w:val="006E35AD"/>
    <w:rsid w:val="006E591C"/>
    <w:rsid w:val="006E6AC2"/>
    <w:rsid w:val="006E6BD1"/>
    <w:rsid w:val="006E78C1"/>
    <w:rsid w:val="006F072D"/>
    <w:rsid w:val="006F150B"/>
    <w:rsid w:val="006F2C08"/>
    <w:rsid w:val="006F2E95"/>
    <w:rsid w:val="006F30C1"/>
    <w:rsid w:val="006F6E88"/>
    <w:rsid w:val="006F7DD3"/>
    <w:rsid w:val="00700770"/>
    <w:rsid w:val="00702727"/>
    <w:rsid w:val="00702BA7"/>
    <w:rsid w:val="0070327C"/>
    <w:rsid w:val="0070382C"/>
    <w:rsid w:val="00711629"/>
    <w:rsid w:val="00714EEB"/>
    <w:rsid w:val="00716789"/>
    <w:rsid w:val="00721FF2"/>
    <w:rsid w:val="007228BF"/>
    <w:rsid w:val="00724C5A"/>
    <w:rsid w:val="00726667"/>
    <w:rsid w:val="0072699A"/>
    <w:rsid w:val="00727109"/>
    <w:rsid w:val="00730BA5"/>
    <w:rsid w:val="00731448"/>
    <w:rsid w:val="0073238B"/>
    <w:rsid w:val="007469F7"/>
    <w:rsid w:val="00750071"/>
    <w:rsid w:val="00750583"/>
    <w:rsid w:val="00753AB3"/>
    <w:rsid w:val="0075653B"/>
    <w:rsid w:val="007573CD"/>
    <w:rsid w:val="007573FC"/>
    <w:rsid w:val="0076064E"/>
    <w:rsid w:val="007608C7"/>
    <w:rsid w:val="007622AE"/>
    <w:rsid w:val="007632A8"/>
    <w:rsid w:val="007649A8"/>
    <w:rsid w:val="00765377"/>
    <w:rsid w:val="00765DAD"/>
    <w:rsid w:val="007662F5"/>
    <w:rsid w:val="0077188A"/>
    <w:rsid w:val="007719D5"/>
    <w:rsid w:val="00771D4B"/>
    <w:rsid w:val="00772BAD"/>
    <w:rsid w:val="00776E4D"/>
    <w:rsid w:val="00777EB3"/>
    <w:rsid w:val="00780912"/>
    <w:rsid w:val="00783BEA"/>
    <w:rsid w:val="0078494D"/>
    <w:rsid w:val="00785B5F"/>
    <w:rsid w:val="00786A0B"/>
    <w:rsid w:val="0079287F"/>
    <w:rsid w:val="00793E25"/>
    <w:rsid w:val="00793F8A"/>
    <w:rsid w:val="00795E6B"/>
    <w:rsid w:val="0079653E"/>
    <w:rsid w:val="00796E03"/>
    <w:rsid w:val="007977AC"/>
    <w:rsid w:val="007A299D"/>
    <w:rsid w:val="007A42FD"/>
    <w:rsid w:val="007A50F3"/>
    <w:rsid w:val="007A627C"/>
    <w:rsid w:val="007A6B0B"/>
    <w:rsid w:val="007A76B7"/>
    <w:rsid w:val="007B08E4"/>
    <w:rsid w:val="007B09EA"/>
    <w:rsid w:val="007B1B68"/>
    <w:rsid w:val="007B1BA1"/>
    <w:rsid w:val="007B2316"/>
    <w:rsid w:val="007B2A65"/>
    <w:rsid w:val="007B38B4"/>
    <w:rsid w:val="007B3F75"/>
    <w:rsid w:val="007B46BD"/>
    <w:rsid w:val="007B4973"/>
    <w:rsid w:val="007B510E"/>
    <w:rsid w:val="007B6102"/>
    <w:rsid w:val="007B73CA"/>
    <w:rsid w:val="007C0A18"/>
    <w:rsid w:val="007C4117"/>
    <w:rsid w:val="007C4688"/>
    <w:rsid w:val="007C5497"/>
    <w:rsid w:val="007D153D"/>
    <w:rsid w:val="007D1A25"/>
    <w:rsid w:val="007D23DF"/>
    <w:rsid w:val="007D3208"/>
    <w:rsid w:val="007D59AE"/>
    <w:rsid w:val="007D6ABB"/>
    <w:rsid w:val="007E0A0E"/>
    <w:rsid w:val="007E0AE6"/>
    <w:rsid w:val="007E0E17"/>
    <w:rsid w:val="007E2177"/>
    <w:rsid w:val="007E2C2B"/>
    <w:rsid w:val="007E2ED2"/>
    <w:rsid w:val="007E40AC"/>
    <w:rsid w:val="007E6763"/>
    <w:rsid w:val="007F3962"/>
    <w:rsid w:val="007F39C8"/>
    <w:rsid w:val="007F3B3A"/>
    <w:rsid w:val="007F5C38"/>
    <w:rsid w:val="00800FB0"/>
    <w:rsid w:val="008036C3"/>
    <w:rsid w:val="00807F20"/>
    <w:rsid w:val="00810449"/>
    <w:rsid w:val="00810C2C"/>
    <w:rsid w:val="00811560"/>
    <w:rsid w:val="00811AE0"/>
    <w:rsid w:val="00812B72"/>
    <w:rsid w:val="00814FF8"/>
    <w:rsid w:val="0081667D"/>
    <w:rsid w:val="00816DF9"/>
    <w:rsid w:val="00816F1F"/>
    <w:rsid w:val="00817648"/>
    <w:rsid w:val="008228D3"/>
    <w:rsid w:val="00822EB3"/>
    <w:rsid w:val="00824D9B"/>
    <w:rsid w:val="008259B2"/>
    <w:rsid w:val="008267F9"/>
    <w:rsid w:val="00826DA1"/>
    <w:rsid w:val="00831B6A"/>
    <w:rsid w:val="00834566"/>
    <w:rsid w:val="00835551"/>
    <w:rsid w:val="0083666D"/>
    <w:rsid w:val="00836B2B"/>
    <w:rsid w:val="0084353F"/>
    <w:rsid w:val="00843582"/>
    <w:rsid w:val="008440E2"/>
    <w:rsid w:val="0084498C"/>
    <w:rsid w:val="008459C5"/>
    <w:rsid w:val="00846F95"/>
    <w:rsid w:val="00847312"/>
    <w:rsid w:val="008475F4"/>
    <w:rsid w:val="00847E42"/>
    <w:rsid w:val="0085039E"/>
    <w:rsid w:val="00851053"/>
    <w:rsid w:val="00851FDF"/>
    <w:rsid w:val="008544FD"/>
    <w:rsid w:val="00854568"/>
    <w:rsid w:val="00854956"/>
    <w:rsid w:val="008554D4"/>
    <w:rsid w:val="008556C9"/>
    <w:rsid w:val="008578F1"/>
    <w:rsid w:val="00857A60"/>
    <w:rsid w:val="00857CAF"/>
    <w:rsid w:val="0086042A"/>
    <w:rsid w:val="00860516"/>
    <w:rsid w:val="00863FD5"/>
    <w:rsid w:val="008656BF"/>
    <w:rsid w:val="0086626C"/>
    <w:rsid w:val="00871E92"/>
    <w:rsid w:val="00872EB0"/>
    <w:rsid w:val="00873AA6"/>
    <w:rsid w:val="00876884"/>
    <w:rsid w:val="00880F50"/>
    <w:rsid w:val="008817F4"/>
    <w:rsid w:val="00884286"/>
    <w:rsid w:val="008845F6"/>
    <w:rsid w:val="00890489"/>
    <w:rsid w:val="0089051E"/>
    <w:rsid w:val="008943EC"/>
    <w:rsid w:val="0089776C"/>
    <w:rsid w:val="008978CA"/>
    <w:rsid w:val="008A223C"/>
    <w:rsid w:val="008A4484"/>
    <w:rsid w:val="008A713A"/>
    <w:rsid w:val="008A776E"/>
    <w:rsid w:val="008A7BDF"/>
    <w:rsid w:val="008B166F"/>
    <w:rsid w:val="008B2AA7"/>
    <w:rsid w:val="008B418D"/>
    <w:rsid w:val="008B7EF4"/>
    <w:rsid w:val="008C22DB"/>
    <w:rsid w:val="008C2752"/>
    <w:rsid w:val="008C2AC9"/>
    <w:rsid w:val="008D1968"/>
    <w:rsid w:val="008D1BAA"/>
    <w:rsid w:val="008D2FA6"/>
    <w:rsid w:val="008D5160"/>
    <w:rsid w:val="008D5E7F"/>
    <w:rsid w:val="008D703D"/>
    <w:rsid w:val="008D7834"/>
    <w:rsid w:val="008E0939"/>
    <w:rsid w:val="008E0F08"/>
    <w:rsid w:val="008E17A8"/>
    <w:rsid w:val="008E24CA"/>
    <w:rsid w:val="008E339C"/>
    <w:rsid w:val="008E5AF0"/>
    <w:rsid w:val="008F2BA6"/>
    <w:rsid w:val="008F3115"/>
    <w:rsid w:val="008F4DA5"/>
    <w:rsid w:val="008F6ACF"/>
    <w:rsid w:val="008F73EB"/>
    <w:rsid w:val="00905110"/>
    <w:rsid w:val="00905279"/>
    <w:rsid w:val="00905414"/>
    <w:rsid w:val="00906EBF"/>
    <w:rsid w:val="009107EC"/>
    <w:rsid w:val="00912B18"/>
    <w:rsid w:val="009139D7"/>
    <w:rsid w:val="009154A1"/>
    <w:rsid w:val="0091635F"/>
    <w:rsid w:val="009170D5"/>
    <w:rsid w:val="00917B0D"/>
    <w:rsid w:val="00920B02"/>
    <w:rsid w:val="00920EF2"/>
    <w:rsid w:val="00922F84"/>
    <w:rsid w:val="00923DFD"/>
    <w:rsid w:val="009260F0"/>
    <w:rsid w:val="00930BDF"/>
    <w:rsid w:val="00932251"/>
    <w:rsid w:val="009329B1"/>
    <w:rsid w:val="00933475"/>
    <w:rsid w:val="00933A1E"/>
    <w:rsid w:val="009343F2"/>
    <w:rsid w:val="0093780D"/>
    <w:rsid w:val="00937DF4"/>
    <w:rsid w:val="00942840"/>
    <w:rsid w:val="0094368E"/>
    <w:rsid w:val="00943917"/>
    <w:rsid w:val="00944BDB"/>
    <w:rsid w:val="0094516C"/>
    <w:rsid w:val="009472F6"/>
    <w:rsid w:val="00947D4D"/>
    <w:rsid w:val="0095074D"/>
    <w:rsid w:val="00951D4C"/>
    <w:rsid w:val="00952801"/>
    <w:rsid w:val="00954587"/>
    <w:rsid w:val="00956481"/>
    <w:rsid w:val="00956EC1"/>
    <w:rsid w:val="00961584"/>
    <w:rsid w:val="00965014"/>
    <w:rsid w:val="0096739D"/>
    <w:rsid w:val="00967610"/>
    <w:rsid w:val="009700FB"/>
    <w:rsid w:val="00970104"/>
    <w:rsid w:val="009734D0"/>
    <w:rsid w:val="00974783"/>
    <w:rsid w:val="00974AAF"/>
    <w:rsid w:val="00984D87"/>
    <w:rsid w:val="00987370"/>
    <w:rsid w:val="00990106"/>
    <w:rsid w:val="00990308"/>
    <w:rsid w:val="00990D45"/>
    <w:rsid w:val="009952D2"/>
    <w:rsid w:val="009952D9"/>
    <w:rsid w:val="00995908"/>
    <w:rsid w:val="00995A06"/>
    <w:rsid w:val="0099680D"/>
    <w:rsid w:val="00996AB6"/>
    <w:rsid w:val="00996E9E"/>
    <w:rsid w:val="00996EC6"/>
    <w:rsid w:val="009976C4"/>
    <w:rsid w:val="009A080A"/>
    <w:rsid w:val="009A18A3"/>
    <w:rsid w:val="009A4F02"/>
    <w:rsid w:val="009A5AC6"/>
    <w:rsid w:val="009A6F3F"/>
    <w:rsid w:val="009A7B89"/>
    <w:rsid w:val="009B353E"/>
    <w:rsid w:val="009B483A"/>
    <w:rsid w:val="009B5017"/>
    <w:rsid w:val="009B5597"/>
    <w:rsid w:val="009B6E51"/>
    <w:rsid w:val="009B77B8"/>
    <w:rsid w:val="009C065C"/>
    <w:rsid w:val="009C1161"/>
    <w:rsid w:val="009C1CF8"/>
    <w:rsid w:val="009C5B2E"/>
    <w:rsid w:val="009C5BF1"/>
    <w:rsid w:val="009D3A80"/>
    <w:rsid w:val="009D527F"/>
    <w:rsid w:val="009E0189"/>
    <w:rsid w:val="009E1606"/>
    <w:rsid w:val="009E16A4"/>
    <w:rsid w:val="009E195B"/>
    <w:rsid w:val="009E1AF7"/>
    <w:rsid w:val="009E2695"/>
    <w:rsid w:val="009E5173"/>
    <w:rsid w:val="009E6DB7"/>
    <w:rsid w:val="009F5005"/>
    <w:rsid w:val="009F5BFB"/>
    <w:rsid w:val="009F6607"/>
    <w:rsid w:val="009F71B2"/>
    <w:rsid w:val="00A00ED5"/>
    <w:rsid w:val="00A01507"/>
    <w:rsid w:val="00A01DD1"/>
    <w:rsid w:val="00A034EF"/>
    <w:rsid w:val="00A036ED"/>
    <w:rsid w:val="00A0645B"/>
    <w:rsid w:val="00A06CE5"/>
    <w:rsid w:val="00A10204"/>
    <w:rsid w:val="00A10755"/>
    <w:rsid w:val="00A10FAE"/>
    <w:rsid w:val="00A11DBD"/>
    <w:rsid w:val="00A12FE5"/>
    <w:rsid w:val="00A13502"/>
    <w:rsid w:val="00A15D8E"/>
    <w:rsid w:val="00A1625D"/>
    <w:rsid w:val="00A16A3F"/>
    <w:rsid w:val="00A17B1B"/>
    <w:rsid w:val="00A21EB8"/>
    <w:rsid w:val="00A222E7"/>
    <w:rsid w:val="00A22895"/>
    <w:rsid w:val="00A2361C"/>
    <w:rsid w:val="00A23D3E"/>
    <w:rsid w:val="00A24132"/>
    <w:rsid w:val="00A24D8F"/>
    <w:rsid w:val="00A25CDB"/>
    <w:rsid w:val="00A26200"/>
    <w:rsid w:val="00A278EF"/>
    <w:rsid w:val="00A31082"/>
    <w:rsid w:val="00A31391"/>
    <w:rsid w:val="00A330A4"/>
    <w:rsid w:val="00A33717"/>
    <w:rsid w:val="00A33BDC"/>
    <w:rsid w:val="00A34648"/>
    <w:rsid w:val="00A34AF1"/>
    <w:rsid w:val="00A37A62"/>
    <w:rsid w:val="00A40198"/>
    <w:rsid w:val="00A40273"/>
    <w:rsid w:val="00A41F7E"/>
    <w:rsid w:val="00A425B2"/>
    <w:rsid w:val="00A425DA"/>
    <w:rsid w:val="00A43285"/>
    <w:rsid w:val="00A44304"/>
    <w:rsid w:val="00A44EE4"/>
    <w:rsid w:val="00A455FD"/>
    <w:rsid w:val="00A465AF"/>
    <w:rsid w:val="00A50732"/>
    <w:rsid w:val="00A50838"/>
    <w:rsid w:val="00A50F93"/>
    <w:rsid w:val="00A5322E"/>
    <w:rsid w:val="00A559FB"/>
    <w:rsid w:val="00A55D37"/>
    <w:rsid w:val="00A56860"/>
    <w:rsid w:val="00A57CDF"/>
    <w:rsid w:val="00A6058E"/>
    <w:rsid w:val="00A61B9E"/>
    <w:rsid w:val="00A62622"/>
    <w:rsid w:val="00A6395A"/>
    <w:rsid w:val="00A63F08"/>
    <w:rsid w:val="00A63FA0"/>
    <w:rsid w:val="00A64017"/>
    <w:rsid w:val="00A6411E"/>
    <w:rsid w:val="00A65038"/>
    <w:rsid w:val="00A659F0"/>
    <w:rsid w:val="00A673E3"/>
    <w:rsid w:val="00A6783E"/>
    <w:rsid w:val="00A725A6"/>
    <w:rsid w:val="00A72B7E"/>
    <w:rsid w:val="00A758A6"/>
    <w:rsid w:val="00A7628F"/>
    <w:rsid w:val="00A807A2"/>
    <w:rsid w:val="00A8134E"/>
    <w:rsid w:val="00A822ED"/>
    <w:rsid w:val="00A83079"/>
    <w:rsid w:val="00A84CB0"/>
    <w:rsid w:val="00A85A3B"/>
    <w:rsid w:val="00A86B5C"/>
    <w:rsid w:val="00A878E1"/>
    <w:rsid w:val="00A90021"/>
    <w:rsid w:val="00A91AAA"/>
    <w:rsid w:val="00A92BC1"/>
    <w:rsid w:val="00A9358E"/>
    <w:rsid w:val="00A93C90"/>
    <w:rsid w:val="00A94A84"/>
    <w:rsid w:val="00A94D63"/>
    <w:rsid w:val="00A953F5"/>
    <w:rsid w:val="00A95925"/>
    <w:rsid w:val="00A960C3"/>
    <w:rsid w:val="00A960FE"/>
    <w:rsid w:val="00AA2C21"/>
    <w:rsid w:val="00AA2FB4"/>
    <w:rsid w:val="00AA51BE"/>
    <w:rsid w:val="00AA753C"/>
    <w:rsid w:val="00AA76EE"/>
    <w:rsid w:val="00AA7C7C"/>
    <w:rsid w:val="00AB0D29"/>
    <w:rsid w:val="00AB3333"/>
    <w:rsid w:val="00AB4FF4"/>
    <w:rsid w:val="00AB6DED"/>
    <w:rsid w:val="00AB6FA4"/>
    <w:rsid w:val="00AB719C"/>
    <w:rsid w:val="00AC01E6"/>
    <w:rsid w:val="00AC1BEE"/>
    <w:rsid w:val="00AC20DA"/>
    <w:rsid w:val="00AC3C89"/>
    <w:rsid w:val="00AC3E65"/>
    <w:rsid w:val="00AC52F8"/>
    <w:rsid w:val="00AC5897"/>
    <w:rsid w:val="00AC5DD8"/>
    <w:rsid w:val="00AC711E"/>
    <w:rsid w:val="00AD2DA3"/>
    <w:rsid w:val="00AD3E79"/>
    <w:rsid w:val="00AD4CF4"/>
    <w:rsid w:val="00AD573A"/>
    <w:rsid w:val="00AD5D4A"/>
    <w:rsid w:val="00AD683C"/>
    <w:rsid w:val="00AE0345"/>
    <w:rsid w:val="00AE1918"/>
    <w:rsid w:val="00AE19D0"/>
    <w:rsid w:val="00AE25C2"/>
    <w:rsid w:val="00AE67B6"/>
    <w:rsid w:val="00AF0145"/>
    <w:rsid w:val="00AF11F5"/>
    <w:rsid w:val="00AF244B"/>
    <w:rsid w:val="00AF75BC"/>
    <w:rsid w:val="00B00425"/>
    <w:rsid w:val="00B015AF"/>
    <w:rsid w:val="00B0160C"/>
    <w:rsid w:val="00B07636"/>
    <w:rsid w:val="00B07F24"/>
    <w:rsid w:val="00B1034D"/>
    <w:rsid w:val="00B10B31"/>
    <w:rsid w:val="00B123C8"/>
    <w:rsid w:val="00B17D26"/>
    <w:rsid w:val="00B21CAF"/>
    <w:rsid w:val="00B22235"/>
    <w:rsid w:val="00B2250A"/>
    <w:rsid w:val="00B23E16"/>
    <w:rsid w:val="00B23FF2"/>
    <w:rsid w:val="00B27169"/>
    <w:rsid w:val="00B272E0"/>
    <w:rsid w:val="00B3070E"/>
    <w:rsid w:val="00B31429"/>
    <w:rsid w:val="00B3305F"/>
    <w:rsid w:val="00B344D1"/>
    <w:rsid w:val="00B34E32"/>
    <w:rsid w:val="00B35CD0"/>
    <w:rsid w:val="00B37F18"/>
    <w:rsid w:val="00B41E8E"/>
    <w:rsid w:val="00B42D82"/>
    <w:rsid w:val="00B4462B"/>
    <w:rsid w:val="00B50108"/>
    <w:rsid w:val="00B50C46"/>
    <w:rsid w:val="00B50F92"/>
    <w:rsid w:val="00B551C6"/>
    <w:rsid w:val="00B564EB"/>
    <w:rsid w:val="00B610AB"/>
    <w:rsid w:val="00B63BCE"/>
    <w:rsid w:val="00B65D68"/>
    <w:rsid w:val="00B66260"/>
    <w:rsid w:val="00B66E0F"/>
    <w:rsid w:val="00B70CC1"/>
    <w:rsid w:val="00B71151"/>
    <w:rsid w:val="00B713D3"/>
    <w:rsid w:val="00B7495A"/>
    <w:rsid w:val="00B80587"/>
    <w:rsid w:val="00B836A1"/>
    <w:rsid w:val="00B8383F"/>
    <w:rsid w:val="00B84271"/>
    <w:rsid w:val="00B84734"/>
    <w:rsid w:val="00B92CC6"/>
    <w:rsid w:val="00B930CA"/>
    <w:rsid w:val="00B93DCE"/>
    <w:rsid w:val="00B969F6"/>
    <w:rsid w:val="00B97C20"/>
    <w:rsid w:val="00BA0346"/>
    <w:rsid w:val="00BA265A"/>
    <w:rsid w:val="00BA33D4"/>
    <w:rsid w:val="00BA3DF8"/>
    <w:rsid w:val="00BA66F6"/>
    <w:rsid w:val="00BB1618"/>
    <w:rsid w:val="00BB3172"/>
    <w:rsid w:val="00BB404B"/>
    <w:rsid w:val="00BB4927"/>
    <w:rsid w:val="00BB58F7"/>
    <w:rsid w:val="00BB6382"/>
    <w:rsid w:val="00BB662D"/>
    <w:rsid w:val="00BC1206"/>
    <w:rsid w:val="00BC309B"/>
    <w:rsid w:val="00BC3958"/>
    <w:rsid w:val="00BC41C9"/>
    <w:rsid w:val="00BC5B37"/>
    <w:rsid w:val="00BC5F98"/>
    <w:rsid w:val="00BC6A1F"/>
    <w:rsid w:val="00BD1308"/>
    <w:rsid w:val="00BD4643"/>
    <w:rsid w:val="00BD7A3C"/>
    <w:rsid w:val="00BE0960"/>
    <w:rsid w:val="00BE1B3B"/>
    <w:rsid w:val="00BE6533"/>
    <w:rsid w:val="00BF06FC"/>
    <w:rsid w:val="00BF0B92"/>
    <w:rsid w:val="00BF25BE"/>
    <w:rsid w:val="00BF33DB"/>
    <w:rsid w:val="00BF55DC"/>
    <w:rsid w:val="00BF6AA9"/>
    <w:rsid w:val="00BF6B80"/>
    <w:rsid w:val="00C01B1B"/>
    <w:rsid w:val="00C01FBB"/>
    <w:rsid w:val="00C029D5"/>
    <w:rsid w:val="00C045EB"/>
    <w:rsid w:val="00C07283"/>
    <w:rsid w:val="00C10B0A"/>
    <w:rsid w:val="00C12A6B"/>
    <w:rsid w:val="00C14D75"/>
    <w:rsid w:val="00C16DF2"/>
    <w:rsid w:val="00C17C2E"/>
    <w:rsid w:val="00C215E8"/>
    <w:rsid w:val="00C216A5"/>
    <w:rsid w:val="00C22C5C"/>
    <w:rsid w:val="00C23B60"/>
    <w:rsid w:val="00C2649E"/>
    <w:rsid w:val="00C2688B"/>
    <w:rsid w:val="00C26AE8"/>
    <w:rsid w:val="00C27BD2"/>
    <w:rsid w:val="00C303ED"/>
    <w:rsid w:val="00C307B1"/>
    <w:rsid w:val="00C31555"/>
    <w:rsid w:val="00C42821"/>
    <w:rsid w:val="00C443F2"/>
    <w:rsid w:val="00C5027B"/>
    <w:rsid w:val="00C5483B"/>
    <w:rsid w:val="00C55B24"/>
    <w:rsid w:val="00C60481"/>
    <w:rsid w:val="00C60643"/>
    <w:rsid w:val="00C60C77"/>
    <w:rsid w:val="00C61618"/>
    <w:rsid w:val="00C70648"/>
    <w:rsid w:val="00C715DD"/>
    <w:rsid w:val="00C71C27"/>
    <w:rsid w:val="00C71C2D"/>
    <w:rsid w:val="00C71F4E"/>
    <w:rsid w:val="00C72E84"/>
    <w:rsid w:val="00C7528D"/>
    <w:rsid w:val="00C76581"/>
    <w:rsid w:val="00C76949"/>
    <w:rsid w:val="00C76955"/>
    <w:rsid w:val="00C8130F"/>
    <w:rsid w:val="00C82B0C"/>
    <w:rsid w:val="00C8571C"/>
    <w:rsid w:val="00C857E4"/>
    <w:rsid w:val="00C859CB"/>
    <w:rsid w:val="00C85B6C"/>
    <w:rsid w:val="00C85EB4"/>
    <w:rsid w:val="00C86906"/>
    <w:rsid w:val="00C90D6F"/>
    <w:rsid w:val="00C91141"/>
    <w:rsid w:val="00C94A95"/>
    <w:rsid w:val="00C95118"/>
    <w:rsid w:val="00C967DF"/>
    <w:rsid w:val="00C96A9A"/>
    <w:rsid w:val="00C97C51"/>
    <w:rsid w:val="00CA058F"/>
    <w:rsid w:val="00CA4E66"/>
    <w:rsid w:val="00CA55FD"/>
    <w:rsid w:val="00CA5FC0"/>
    <w:rsid w:val="00CA7B3C"/>
    <w:rsid w:val="00CA7BF5"/>
    <w:rsid w:val="00CA7CE6"/>
    <w:rsid w:val="00CB0C70"/>
    <w:rsid w:val="00CB152B"/>
    <w:rsid w:val="00CB1590"/>
    <w:rsid w:val="00CB2370"/>
    <w:rsid w:val="00CB3D41"/>
    <w:rsid w:val="00CB6211"/>
    <w:rsid w:val="00CB7DE4"/>
    <w:rsid w:val="00CB7EAE"/>
    <w:rsid w:val="00CC180D"/>
    <w:rsid w:val="00CD0CDA"/>
    <w:rsid w:val="00CD0E83"/>
    <w:rsid w:val="00CD46CD"/>
    <w:rsid w:val="00CD52B9"/>
    <w:rsid w:val="00CD735F"/>
    <w:rsid w:val="00CD75EA"/>
    <w:rsid w:val="00CE17B3"/>
    <w:rsid w:val="00CE19AE"/>
    <w:rsid w:val="00CE1F41"/>
    <w:rsid w:val="00CE325F"/>
    <w:rsid w:val="00CE38BA"/>
    <w:rsid w:val="00CE3DED"/>
    <w:rsid w:val="00CE46DA"/>
    <w:rsid w:val="00CE6A29"/>
    <w:rsid w:val="00CF2D40"/>
    <w:rsid w:val="00CF605D"/>
    <w:rsid w:val="00CF6C60"/>
    <w:rsid w:val="00D012DE"/>
    <w:rsid w:val="00D048C1"/>
    <w:rsid w:val="00D04EA0"/>
    <w:rsid w:val="00D05376"/>
    <w:rsid w:val="00D05AF2"/>
    <w:rsid w:val="00D06268"/>
    <w:rsid w:val="00D06437"/>
    <w:rsid w:val="00D06EE5"/>
    <w:rsid w:val="00D10C64"/>
    <w:rsid w:val="00D15481"/>
    <w:rsid w:val="00D16520"/>
    <w:rsid w:val="00D16F29"/>
    <w:rsid w:val="00D201E1"/>
    <w:rsid w:val="00D20F13"/>
    <w:rsid w:val="00D21BB5"/>
    <w:rsid w:val="00D231AD"/>
    <w:rsid w:val="00D244C3"/>
    <w:rsid w:val="00D25F76"/>
    <w:rsid w:val="00D260C3"/>
    <w:rsid w:val="00D269D6"/>
    <w:rsid w:val="00D3048C"/>
    <w:rsid w:val="00D329E7"/>
    <w:rsid w:val="00D352B9"/>
    <w:rsid w:val="00D37F9D"/>
    <w:rsid w:val="00D41C82"/>
    <w:rsid w:val="00D447D6"/>
    <w:rsid w:val="00D47EB9"/>
    <w:rsid w:val="00D5027A"/>
    <w:rsid w:val="00D55C8F"/>
    <w:rsid w:val="00D60F05"/>
    <w:rsid w:val="00D62E13"/>
    <w:rsid w:val="00D64C5B"/>
    <w:rsid w:val="00D64D22"/>
    <w:rsid w:val="00D6522F"/>
    <w:rsid w:val="00D664B3"/>
    <w:rsid w:val="00D679C3"/>
    <w:rsid w:val="00D70AB6"/>
    <w:rsid w:val="00D73034"/>
    <w:rsid w:val="00D807D5"/>
    <w:rsid w:val="00D8135C"/>
    <w:rsid w:val="00D8530D"/>
    <w:rsid w:val="00D86FE8"/>
    <w:rsid w:val="00D9017A"/>
    <w:rsid w:val="00D91A8E"/>
    <w:rsid w:val="00D92BCE"/>
    <w:rsid w:val="00D954EF"/>
    <w:rsid w:val="00D9615D"/>
    <w:rsid w:val="00DA0491"/>
    <w:rsid w:val="00DA0682"/>
    <w:rsid w:val="00DA2A1B"/>
    <w:rsid w:val="00DA2E2D"/>
    <w:rsid w:val="00DA39E6"/>
    <w:rsid w:val="00DA3AAD"/>
    <w:rsid w:val="00DA494E"/>
    <w:rsid w:val="00DA614D"/>
    <w:rsid w:val="00DA62CC"/>
    <w:rsid w:val="00DA642B"/>
    <w:rsid w:val="00DA7C72"/>
    <w:rsid w:val="00DB3883"/>
    <w:rsid w:val="00DB46ED"/>
    <w:rsid w:val="00DB56B7"/>
    <w:rsid w:val="00DB646B"/>
    <w:rsid w:val="00DC047B"/>
    <w:rsid w:val="00DC46FC"/>
    <w:rsid w:val="00DC6AC0"/>
    <w:rsid w:val="00DC7FFE"/>
    <w:rsid w:val="00DD0770"/>
    <w:rsid w:val="00DD18BC"/>
    <w:rsid w:val="00DD6938"/>
    <w:rsid w:val="00DD6C1C"/>
    <w:rsid w:val="00DE11D4"/>
    <w:rsid w:val="00DE1BC4"/>
    <w:rsid w:val="00DE4279"/>
    <w:rsid w:val="00DE4B2F"/>
    <w:rsid w:val="00DE67E9"/>
    <w:rsid w:val="00DF0C39"/>
    <w:rsid w:val="00DF25CC"/>
    <w:rsid w:val="00DF2D0A"/>
    <w:rsid w:val="00DF6612"/>
    <w:rsid w:val="00E0128B"/>
    <w:rsid w:val="00E02335"/>
    <w:rsid w:val="00E07019"/>
    <w:rsid w:val="00E12697"/>
    <w:rsid w:val="00E13429"/>
    <w:rsid w:val="00E13533"/>
    <w:rsid w:val="00E151C0"/>
    <w:rsid w:val="00E15FD1"/>
    <w:rsid w:val="00E16669"/>
    <w:rsid w:val="00E173A0"/>
    <w:rsid w:val="00E21525"/>
    <w:rsid w:val="00E22FC5"/>
    <w:rsid w:val="00E2559A"/>
    <w:rsid w:val="00E26684"/>
    <w:rsid w:val="00E27ACD"/>
    <w:rsid w:val="00E30741"/>
    <w:rsid w:val="00E31FA2"/>
    <w:rsid w:val="00E32D05"/>
    <w:rsid w:val="00E358C4"/>
    <w:rsid w:val="00E35E92"/>
    <w:rsid w:val="00E374CA"/>
    <w:rsid w:val="00E40CF8"/>
    <w:rsid w:val="00E40D76"/>
    <w:rsid w:val="00E442E1"/>
    <w:rsid w:val="00E52620"/>
    <w:rsid w:val="00E5566A"/>
    <w:rsid w:val="00E60BD2"/>
    <w:rsid w:val="00E63974"/>
    <w:rsid w:val="00E63FF8"/>
    <w:rsid w:val="00E66352"/>
    <w:rsid w:val="00E66C18"/>
    <w:rsid w:val="00E705F1"/>
    <w:rsid w:val="00E72363"/>
    <w:rsid w:val="00E72E49"/>
    <w:rsid w:val="00E73638"/>
    <w:rsid w:val="00E74207"/>
    <w:rsid w:val="00E7629D"/>
    <w:rsid w:val="00E77004"/>
    <w:rsid w:val="00E81FF4"/>
    <w:rsid w:val="00E828A8"/>
    <w:rsid w:val="00E82A8C"/>
    <w:rsid w:val="00E90A6B"/>
    <w:rsid w:val="00E914CC"/>
    <w:rsid w:val="00E915FC"/>
    <w:rsid w:val="00E92BB7"/>
    <w:rsid w:val="00E941AF"/>
    <w:rsid w:val="00E9421F"/>
    <w:rsid w:val="00E961C9"/>
    <w:rsid w:val="00E974BA"/>
    <w:rsid w:val="00EA00FB"/>
    <w:rsid w:val="00EA0E50"/>
    <w:rsid w:val="00EA41C8"/>
    <w:rsid w:val="00EA4DB6"/>
    <w:rsid w:val="00EB12A8"/>
    <w:rsid w:val="00EB46F3"/>
    <w:rsid w:val="00EB5846"/>
    <w:rsid w:val="00EB7287"/>
    <w:rsid w:val="00EC0AD6"/>
    <w:rsid w:val="00EC1477"/>
    <w:rsid w:val="00EC252D"/>
    <w:rsid w:val="00EC3E48"/>
    <w:rsid w:val="00EC3F02"/>
    <w:rsid w:val="00EC493A"/>
    <w:rsid w:val="00EC516F"/>
    <w:rsid w:val="00EC5AB3"/>
    <w:rsid w:val="00EC5F4E"/>
    <w:rsid w:val="00ED6B47"/>
    <w:rsid w:val="00ED72AB"/>
    <w:rsid w:val="00ED72C2"/>
    <w:rsid w:val="00ED7E53"/>
    <w:rsid w:val="00EE1253"/>
    <w:rsid w:val="00EE27D0"/>
    <w:rsid w:val="00EE39CE"/>
    <w:rsid w:val="00EE3A03"/>
    <w:rsid w:val="00EE447C"/>
    <w:rsid w:val="00EE62B3"/>
    <w:rsid w:val="00EE7402"/>
    <w:rsid w:val="00EE7CE1"/>
    <w:rsid w:val="00EF062A"/>
    <w:rsid w:val="00EF25A3"/>
    <w:rsid w:val="00EF2915"/>
    <w:rsid w:val="00EF4AD9"/>
    <w:rsid w:val="00EF6F94"/>
    <w:rsid w:val="00F007C9"/>
    <w:rsid w:val="00F00F48"/>
    <w:rsid w:val="00F01384"/>
    <w:rsid w:val="00F0158A"/>
    <w:rsid w:val="00F01B31"/>
    <w:rsid w:val="00F02A80"/>
    <w:rsid w:val="00F05839"/>
    <w:rsid w:val="00F065F3"/>
    <w:rsid w:val="00F06676"/>
    <w:rsid w:val="00F0729F"/>
    <w:rsid w:val="00F072B6"/>
    <w:rsid w:val="00F07467"/>
    <w:rsid w:val="00F07EEF"/>
    <w:rsid w:val="00F10681"/>
    <w:rsid w:val="00F11022"/>
    <w:rsid w:val="00F1369C"/>
    <w:rsid w:val="00F15CF9"/>
    <w:rsid w:val="00F21538"/>
    <w:rsid w:val="00F21F36"/>
    <w:rsid w:val="00F22001"/>
    <w:rsid w:val="00F24F00"/>
    <w:rsid w:val="00F256CC"/>
    <w:rsid w:val="00F26D67"/>
    <w:rsid w:val="00F27EDA"/>
    <w:rsid w:val="00F31417"/>
    <w:rsid w:val="00F31E72"/>
    <w:rsid w:val="00F32CE6"/>
    <w:rsid w:val="00F3413A"/>
    <w:rsid w:val="00F3414A"/>
    <w:rsid w:val="00F3717D"/>
    <w:rsid w:val="00F378DE"/>
    <w:rsid w:val="00F37E23"/>
    <w:rsid w:val="00F4054B"/>
    <w:rsid w:val="00F42E07"/>
    <w:rsid w:val="00F44D72"/>
    <w:rsid w:val="00F46DB3"/>
    <w:rsid w:val="00F507BE"/>
    <w:rsid w:val="00F515BE"/>
    <w:rsid w:val="00F51C55"/>
    <w:rsid w:val="00F5292F"/>
    <w:rsid w:val="00F534EF"/>
    <w:rsid w:val="00F54FED"/>
    <w:rsid w:val="00F5599A"/>
    <w:rsid w:val="00F55B88"/>
    <w:rsid w:val="00F61B7C"/>
    <w:rsid w:val="00F6276F"/>
    <w:rsid w:val="00F63719"/>
    <w:rsid w:val="00F64100"/>
    <w:rsid w:val="00F64C0C"/>
    <w:rsid w:val="00F64D6C"/>
    <w:rsid w:val="00F66ED8"/>
    <w:rsid w:val="00F66F1F"/>
    <w:rsid w:val="00F70921"/>
    <w:rsid w:val="00F70AAB"/>
    <w:rsid w:val="00F746DC"/>
    <w:rsid w:val="00F7555D"/>
    <w:rsid w:val="00F75F6B"/>
    <w:rsid w:val="00F763E0"/>
    <w:rsid w:val="00F765F3"/>
    <w:rsid w:val="00F77A88"/>
    <w:rsid w:val="00F80AC5"/>
    <w:rsid w:val="00F81BCA"/>
    <w:rsid w:val="00F82628"/>
    <w:rsid w:val="00F83F6A"/>
    <w:rsid w:val="00F90818"/>
    <w:rsid w:val="00F9154A"/>
    <w:rsid w:val="00F92B3F"/>
    <w:rsid w:val="00F92D67"/>
    <w:rsid w:val="00F9472E"/>
    <w:rsid w:val="00F94B9A"/>
    <w:rsid w:val="00F960CE"/>
    <w:rsid w:val="00F96696"/>
    <w:rsid w:val="00F96A03"/>
    <w:rsid w:val="00FA08EF"/>
    <w:rsid w:val="00FA25A0"/>
    <w:rsid w:val="00FA34B4"/>
    <w:rsid w:val="00FA4F2C"/>
    <w:rsid w:val="00FA775C"/>
    <w:rsid w:val="00FB03A4"/>
    <w:rsid w:val="00FB4F12"/>
    <w:rsid w:val="00FB6352"/>
    <w:rsid w:val="00FB71B3"/>
    <w:rsid w:val="00FB71F6"/>
    <w:rsid w:val="00FC1B4E"/>
    <w:rsid w:val="00FC20F4"/>
    <w:rsid w:val="00FC3C82"/>
    <w:rsid w:val="00FC4D84"/>
    <w:rsid w:val="00FC51B1"/>
    <w:rsid w:val="00FC5EF1"/>
    <w:rsid w:val="00FC7F0F"/>
    <w:rsid w:val="00FD1A4A"/>
    <w:rsid w:val="00FD3E88"/>
    <w:rsid w:val="00FD461A"/>
    <w:rsid w:val="00FD70E0"/>
    <w:rsid w:val="00FE03C0"/>
    <w:rsid w:val="00FE3E2B"/>
    <w:rsid w:val="00FE43CD"/>
    <w:rsid w:val="00FE664A"/>
    <w:rsid w:val="00FE66E6"/>
    <w:rsid w:val="00FE6DC5"/>
    <w:rsid w:val="00FF2181"/>
    <w:rsid w:val="00FF3102"/>
    <w:rsid w:val="00FF3E3A"/>
    <w:rsid w:val="00FF3FAD"/>
    <w:rsid w:val="00FF6B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0302"/>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7424"/>
    <w:pPr>
      <w:suppressAutoHyphens/>
      <w:autoSpaceDN w:val="0"/>
      <w:jc w:val="both"/>
      <w:textAlignment w:val="baseline"/>
    </w:pPr>
    <w:rPr>
      <w:rFonts w:ascii="Arial" w:eastAsia="Times New Roman" w:hAnsi="Arial" w:cs="Times New Roman"/>
      <w:szCs w:val="24"/>
      <w:lang w:val="es-ES" w:eastAsia="es-ES"/>
    </w:rPr>
  </w:style>
  <w:style w:type="paragraph" w:styleId="Ttulo1">
    <w:name w:val="heading 1"/>
    <w:basedOn w:val="Normal"/>
    <w:next w:val="Normal"/>
    <w:link w:val="Ttulo1Car"/>
    <w:uiPriority w:val="9"/>
    <w:qFormat/>
    <w:rsid w:val="00B66260"/>
    <w:pPr>
      <w:keepNext/>
      <w:keepLines/>
      <w:spacing w:before="240" w:line="36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F10681"/>
    <w:pPr>
      <w:keepNext/>
      <w:keepLines/>
      <w:spacing w:before="40"/>
      <w:jc w:val="center"/>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A9002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PiedepginaCar">
    <w:name w:val="Pie de página Car"/>
    <w:basedOn w:val="Fuentedeprrafopredeter"/>
    <w:link w:val="Piedepgina"/>
    <w:uiPriority w:val="99"/>
    <w:rsid w:val="0034782A"/>
  </w:style>
  <w:style w:type="table" w:styleId="Tablaconcuadrcula">
    <w:name w:val="Table Grid"/>
    <w:basedOn w:val="Tablanormal"/>
    <w:uiPriority w:val="39"/>
    <w:rsid w:val="00771D4B"/>
    <w:pPr>
      <w:widowControl w:val="0"/>
      <w:suppressAutoHyphens/>
      <w:spacing w:after="200" w:line="1" w:lineRule="atLeast"/>
      <w:ind w:leftChars="-1" w:left="-1" w:hangingChars="1" w:hanging="1"/>
      <w:textDirection w:val="btLr"/>
      <w:textAlignment w:val="top"/>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792A"/>
    <w:pPr>
      <w:ind w:left="720"/>
      <w:contextualSpacing/>
    </w:pPr>
  </w:style>
  <w:style w:type="table" w:customStyle="1" w:styleId="Tablaconcuadrcula1">
    <w:name w:val="Tabla con cuadrícula1"/>
    <w:basedOn w:val="Tablanormal"/>
    <w:next w:val="Tablaconcuadrcula"/>
    <w:uiPriority w:val="39"/>
    <w:rsid w:val="005D236D"/>
    <w:pPr>
      <w:widowControl w:val="0"/>
      <w:suppressAutoHyphens/>
      <w:spacing w:after="200" w:line="1" w:lineRule="atLeast"/>
      <w:ind w:leftChars="-1" w:left="-1" w:hangingChars="1" w:hanging="1"/>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7C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C51"/>
    <w:rPr>
      <w:rFonts w:ascii="Segoe UI" w:eastAsia="Times New Roman" w:hAnsi="Segoe UI" w:cs="Segoe UI"/>
      <w:sz w:val="18"/>
      <w:szCs w:val="18"/>
      <w:lang w:val="es-ES" w:eastAsia="es-ES"/>
    </w:rPr>
  </w:style>
  <w:style w:type="paragraph" w:styleId="TDC1">
    <w:name w:val="toc 1"/>
    <w:basedOn w:val="Normal"/>
    <w:next w:val="Normal"/>
    <w:autoRedefine/>
    <w:uiPriority w:val="39"/>
    <w:unhideWhenUsed/>
    <w:rsid w:val="00F378DE"/>
    <w:pPr>
      <w:spacing w:after="100"/>
    </w:pPr>
  </w:style>
  <w:style w:type="paragraph" w:styleId="TDC2">
    <w:name w:val="toc 2"/>
    <w:basedOn w:val="Normal"/>
    <w:next w:val="Normal"/>
    <w:autoRedefine/>
    <w:uiPriority w:val="39"/>
    <w:unhideWhenUsed/>
    <w:rsid w:val="001270D3"/>
    <w:pPr>
      <w:tabs>
        <w:tab w:val="left" w:pos="426"/>
        <w:tab w:val="right" w:leader="dot" w:pos="8828"/>
      </w:tabs>
      <w:suppressAutoHyphens w:val="0"/>
      <w:autoSpaceDN/>
      <w:spacing w:after="100" w:line="276" w:lineRule="auto"/>
      <w:textAlignment w:val="auto"/>
    </w:pPr>
    <w:rPr>
      <w:rFonts w:asciiTheme="minorHAnsi" w:eastAsiaTheme="minorEastAsia" w:hAnsiTheme="minorHAnsi" w:cstheme="minorBidi"/>
      <w:szCs w:val="22"/>
      <w:lang w:val="es-CO" w:eastAsia="es-CO"/>
    </w:rPr>
  </w:style>
  <w:style w:type="paragraph" w:styleId="TDC3">
    <w:name w:val="toc 3"/>
    <w:basedOn w:val="Normal"/>
    <w:next w:val="Normal"/>
    <w:autoRedefine/>
    <w:uiPriority w:val="39"/>
    <w:unhideWhenUsed/>
    <w:rsid w:val="00F378DE"/>
    <w:pPr>
      <w:suppressAutoHyphens w:val="0"/>
      <w:autoSpaceDN/>
      <w:spacing w:after="100" w:line="259" w:lineRule="auto"/>
      <w:ind w:left="440"/>
      <w:textAlignment w:val="auto"/>
    </w:pPr>
    <w:rPr>
      <w:rFonts w:asciiTheme="minorHAnsi" w:eastAsiaTheme="minorEastAsia" w:hAnsiTheme="minorHAnsi" w:cstheme="minorBidi"/>
      <w:szCs w:val="22"/>
      <w:lang w:val="es-CO" w:eastAsia="es-CO"/>
    </w:rPr>
  </w:style>
  <w:style w:type="paragraph" w:styleId="TDC4">
    <w:name w:val="toc 4"/>
    <w:basedOn w:val="Normal"/>
    <w:next w:val="Normal"/>
    <w:autoRedefine/>
    <w:uiPriority w:val="39"/>
    <w:unhideWhenUsed/>
    <w:rsid w:val="00F378DE"/>
    <w:pPr>
      <w:suppressAutoHyphens w:val="0"/>
      <w:autoSpaceDN/>
      <w:spacing w:after="100" w:line="259" w:lineRule="auto"/>
      <w:ind w:left="660"/>
      <w:textAlignment w:val="auto"/>
    </w:pPr>
    <w:rPr>
      <w:rFonts w:asciiTheme="minorHAnsi" w:eastAsiaTheme="minorEastAsia" w:hAnsiTheme="minorHAnsi" w:cstheme="minorBidi"/>
      <w:szCs w:val="22"/>
      <w:lang w:val="es-CO" w:eastAsia="es-CO"/>
    </w:rPr>
  </w:style>
  <w:style w:type="paragraph" w:styleId="TDC5">
    <w:name w:val="toc 5"/>
    <w:basedOn w:val="Normal"/>
    <w:next w:val="Normal"/>
    <w:autoRedefine/>
    <w:uiPriority w:val="39"/>
    <w:unhideWhenUsed/>
    <w:rsid w:val="00F378DE"/>
    <w:pPr>
      <w:suppressAutoHyphens w:val="0"/>
      <w:autoSpaceDN/>
      <w:spacing w:after="100" w:line="259" w:lineRule="auto"/>
      <w:ind w:left="880"/>
      <w:textAlignment w:val="auto"/>
    </w:pPr>
    <w:rPr>
      <w:rFonts w:asciiTheme="minorHAnsi" w:eastAsiaTheme="minorEastAsia" w:hAnsiTheme="minorHAnsi" w:cstheme="minorBidi"/>
      <w:szCs w:val="22"/>
      <w:lang w:val="es-CO" w:eastAsia="es-CO"/>
    </w:rPr>
  </w:style>
  <w:style w:type="paragraph" w:styleId="TDC6">
    <w:name w:val="toc 6"/>
    <w:basedOn w:val="Normal"/>
    <w:next w:val="Normal"/>
    <w:autoRedefine/>
    <w:uiPriority w:val="39"/>
    <w:unhideWhenUsed/>
    <w:rsid w:val="00F378DE"/>
    <w:pPr>
      <w:suppressAutoHyphens w:val="0"/>
      <w:autoSpaceDN/>
      <w:spacing w:after="100" w:line="259" w:lineRule="auto"/>
      <w:ind w:left="1100"/>
      <w:textAlignment w:val="auto"/>
    </w:pPr>
    <w:rPr>
      <w:rFonts w:asciiTheme="minorHAnsi" w:eastAsiaTheme="minorEastAsia" w:hAnsiTheme="minorHAnsi" w:cstheme="minorBidi"/>
      <w:szCs w:val="22"/>
      <w:lang w:val="es-CO" w:eastAsia="es-CO"/>
    </w:rPr>
  </w:style>
  <w:style w:type="paragraph" w:styleId="TDC7">
    <w:name w:val="toc 7"/>
    <w:basedOn w:val="Normal"/>
    <w:next w:val="Normal"/>
    <w:autoRedefine/>
    <w:uiPriority w:val="39"/>
    <w:unhideWhenUsed/>
    <w:rsid w:val="00F378DE"/>
    <w:pPr>
      <w:suppressAutoHyphens w:val="0"/>
      <w:autoSpaceDN/>
      <w:spacing w:after="100" w:line="259" w:lineRule="auto"/>
      <w:ind w:left="1320"/>
      <w:textAlignment w:val="auto"/>
    </w:pPr>
    <w:rPr>
      <w:rFonts w:asciiTheme="minorHAnsi" w:eastAsiaTheme="minorEastAsia" w:hAnsiTheme="minorHAnsi" w:cstheme="minorBidi"/>
      <w:szCs w:val="22"/>
      <w:lang w:val="es-CO" w:eastAsia="es-CO"/>
    </w:rPr>
  </w:style>
  <w:style w:type="paragraph" w:styleId="TDC8">
    <w:name w:val="toc 8"/>
    <w:basedOn w:val="Normal"/>
    <w:next w:val="Normal"/>
    <w:autoRedefine/>
    <w:uiPriority w:val="39"/>
    <w:unhideWhenUsed/>
    <w:rsid w:val="00F378DE"/>
    <w:pPr>
      <w:suppressAutoHyphens w:val="0"/>
      <w:autoSpaceDN/>
      <w:spacing w:after="100" w:line="259" w:lineRule="auto"/>
      <w:ind w:left="1540"/>
      <w:textAlignment w:val="auto"/>
    </w:pPr>
    <w:rPr>
      <w:rFonts w:asciiTheme="minorHAnsi" w:eastAsiaTheme="minorEastAsia" w:hAnsiTheme="minorHAnsi" w:cstheme="minorBidi"/>
      <w:szCs w:val="22"/>
      <w:lang w:val="es-CO" w:eastAsia="es-CO"/>
    </w:rPr>
  </w:style>
  <w:style w:type="paragraph" w:styleId="TDC9">
    <w:name w:val="toc 9"/>
    <w:basedOn w:val="Normal"/>
    <w:next w:val="Normal"/>
    <w:autoRedefine/>
    <w:uiPriority w:val="39"/>
    <w:unhideWhenUsed/>
    <w:rsid w:val="00F378DE"/>
    <w:pPr>
      <w:suppressAutoHyphens w:val="0"/>
      <w:autoSpaceDN/>
      <w:spacing w:after="100" w:line="259" w:lineRule="auto"/>
      <w:ind w:left="1760"/>
      <w:textAlignment w:val="auto"/>
    </w:pPr>
    <w:rPr>
      <w:rFonts w:asciiTheme="minorHAnsi" w:eastAsiaTheme="minorEastAsia" w:hAnsiTheme="minorHAnsi" w:cstheme="minorBidi"/>
      <w:szCs w:val="22"/>
      <w:lang w:val="es-CO" w:eastAsia="es-CO"/>
    </w:rPr>
  </w:style>
  <w:style w:type="character" w:styleId="Hipervnculo">
    <w:name w:val="Hyperlink"/>
    <w:basedOn w:val="Fuentedeprrafopredeter"/>
    <w:uiPriority w:val="99"/>
    <w:unhideWhenUsed/>
    <w:rsid w:val="00F378DE"/>
    <w:rPr>
      <w:color w:val="0563C1" w:themeColor="hyperlink"/>
      <w:u w:val="single"/>
    </w:rPr>
  </w:style>
  <w:style w:type="character" w:customStyle="1" w:styleId="Mencinsinresolver1">
    <w:name w:val="Mención sin resolver1"/>
    <w:basedOn w:val="Fuentedeprrafopredeter"/>
    <w:uiPriority w:val="99"/>
    <w:semiHidden/>
    <w:unhideWhenUsed/>
    <w:rsid w:val="00F378DE"/>
    <w:rPr>
      <w:color w:val="605E5C"/>
      <w:shd w:val="clear" w:color="auto" w:fill="E1DFDD"/>
    </w:rPr>
  </w:style>
  <w:style w:type="character" w:customStyle="1" w:styleId="Ttulo1Car">
    <w:name w:val="Título 1 Car"/>
    <w:basedOn w:val="Fuentedeprrafopredeter"/>
    <w:link w:val="Ttulo1"/>
    <w:uiPriority w:val="9"/>
    <w:rsid w:val="00B66260"/>
    <w:rPr>
      <w:rFonts w:ascii="Arial" w:eastAsiaTheme="majorEastAsia" w:hAnsi="Arial" w:cstheme="majorBidi"/>
      <w:b/>
      <w:szCs w:val="32"/>
      <w:lang w:val="es-ES" w:eastAsia="es-ES"/>
    </w:rPr>
  </w:style>
  <w:style w:type="paragraph" w:styleId="TtuloTDC">
    <w:name w:val="TOC Heading"/>
    <w:basedOn w:val="Ttulo1"/>
    <w:next w:val="Normal"/>
    <w:uiPriority w:val="39"/>
    <w:unhideWhenUsed/>
    <w:qFormat/>
    <w:rsid w:val="004E7424"/>
    <w:pPr>
      <w:suppressAutoHyphens w:val="0"/>
      <w:autoSpaceDN/>
      <w:spacing w:line="259" w:lineRule="auto"/>
      <w:jc w:val="left"/>
      <w:textAlignment w:val="auto"/>
      <w:outlineLvl w:val="9"/>
    </w:pPr>
    <w:rPr>
      <w:rFonts w:asciiTheme="majorHAnsi" w:hAnsiTheme="majorHAnsi"/>
      <w:b w:val="0"/>
      <w:color w:val="2F5496" w:themeColor="accent1" w:themeShade="BF"/>
      <w:sz w:val="32"/>
      <w:lang w:val="es-CO" w:eastAsia="es-CO"/>
    </w:rPr>
  </w:style>
  <w:style w:type="character" w:customStyle="1" w:styleId="Ttulo2Car">
    <w:name w:val="Título 2 Car"/>
    <w:basedOn w:val="Fuentedeprrafopredeter"/>
    <w:link w:val="Ttulo2"/>
    <w:uiPriority w:val="9"/>
    <w:rsid w:val="00F10681"/>
    <w:rPr>
      <w:rFonts w:ascii="Arial" w:eastAsiaTheme="majorEastAsia" w:hAnsi="Arial" w:cstheme="majorBidi"/>
      <w:b/>
      <w:szCs w:val="26"/>
      <w:lang w:val="es-ES" w:eastAsia="es-ES"/>
    </w:rPr>
  </w:style>
  <w:style w:type="character" w:styleId="Refdecomentario">
    <w:name w:val="annotation reference"/>
    <w:basedOn w:val="Fuentedeprrafopredeter"/>
    <w:uiPriority w:val="99"/>
    <w:semiHidden/>
    <w:unhideWhenUsed/>
    <w:rsid w:val="00121F3F"/>
    <w:rPr>
      <w:sz w:val="16"/>
      <w:szCs w:val="16"/>
    </w:rPr>
  </w:style>
  <w:style w:type="paragraph" w:styleId="Textocomentario">
    <w:name w:val="annotation text"/>
    <w:basedOn w:val="Normal"/>
    <w:link w:val="TextocomentarioCar"/>
    <w:uiPriority w:val="99"/>
    <w:semiHidden/>
    <w:unhideWhenUsed/>
    <w:rsid w:val="00121F3F"/>
    <w:rPr>
      <w:sz w:val="20"/>
      <w:szCs w:val="20"/>
    </w:rPr>
  </w:style>
  <w:style w:type="character" w:customStyle="1" w:styleId="TextocomentarioCar">
    <w:name w:val="Texto comentario Car"/>
    <w:basedOn w:val="Fuentedeprrafopredeter"/>
    <w:link w:val="Textocomentario"/>
    <w:uiPriority w:val="99"/>
    <w:semiHidden/>
    <w:rsid w:val="00121F3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21F3F"/>
    <w:rPr>
      <w:b/>
      <w:bCs/>
    </w:rPr>
  </w:style>
  <w:style w:type="character" w:customStyle="1" w:styleId="AsuntodelcomentarioCar">
    <w:name w:val="Asunto del comentario Car"/>
    <w:basedOn w:val="TextocomentarioCar"/>
    <w:link w:val="Asuntodelcomentario"/>
    <w:uiPriority w:val="99"/>
    <w:semiHidden/>
    <w:rsid w:val="00121F3F"/>
    <w:rPr>
      <w:rFonts w:ascii="Arial" w:eastAsia="Times New Roman" w:hAnsi="Arial" w:cs="Times New Roman"/>
      <w:b/>
      <w:bCs/>
      <w:sz w:val="20"/>
      <w:szCs w:val="20"/>
      <w:lang w:val="es-ES" w:eastAsia="es-ES"/>
    </w:rPr>
  </w:style>
  <w:style w:type="character" w:customStyle="1" w:styleId="tl8wme">
    <w:name w:val="tl8wme"/>
    <w:basedOn w:val="Fuentedeprrafopredeter"/>
    <w:rsid w:val="00C90D6F"/>
  </w:style>
  <w:style w:type="character" w:customStyle="1" w:styleId="v1ipkd">
    <w:name w:val="v1ipkd"/>
    <w:basedOn w:val="Fuentedeprrafopredeter"/>
    <w:rsid w:val="00C90D6F"/>
  </w:style>
  <w:style w:type="character" w:customStyle="1" w:styleId="dj1gof">
    <w:name w:val="dj1gof"/>
    <w:basedOn w:val="Fuentedeprrafopredeter"/>
    <w:rsid w:val="00C90D6F"/>
  </w:style>
  <w:style w:type="character" w:customStyle="1" w:styleId="ur">
    <w:name w:val="ur"/>
    <w:basedOn w:val="Fuentedeprrafopredeter"/>
    <w:rsid w:val="008B7EF4"/>
  </w:style>
  <w:style w:type="character" w:customStyle="1" w:styleId="vpqmgb">
    <w:name w:val="vpqmgb"/>
    <w:basedOn w:val="Fuentedeprrafopredeter"/>
    <w:rsid w:val="008B7EF4"/>
  </w:style>
  <w:style w:type="character" w:customStyle="1" w:styleId="sv">
    <w:name w:val="sv"/>
    <w:basedOn w:val="Fuentedeprrafopredeter"/>
    <w:rsid w:val="008B7EF4"/>
  </w:style>
  <w:style w:type="character" w:customStyle="1" w:styleId="Mencinsinresolver2">
    <w:name w:val="Mención sin resolver2"/>
    <w:basedOn w:val="Fuentedeprrafopredeter"/>
    <w:uiPriority w:val="99"/>
    <w:semiHidden/>
    <w:unhideWhenUsed/>
    <w:rsid w:val="00563626"/>
    <w:rPr>
      <w:color w:val="605E5C"/>
      <w:shd w:val="clear" w:color="auto" w:fill="E1DFDD"/>
    </w:rPr>
  </w:style>
  <w:style w:type="paragraph" w:styleId="NormalWeb">
    <w:name w:val="Normal (Web)"/>
    <w:basedOn w:val="Normal"/>
    <w:uiPriority w:val="99"/>
    <w:unhideWhenUsed/>
    <w:rsid w:val="00240C9B"/>
    <w:pPr>
      <w:suppressAutoHyphens w:val="0"/>
      <w:autoSpaceDN/>
      <w:spacing w:before="100" w:beforeAutospacing="1" w:after="100" w:afterAutospacing="1"/>
      <w:jc w:val="left"/>
      <w:textAlignment w:val="auto"/>
    </w:pPr>
    <w:rPr>
      <w:rFonts w:ascii="Times New Roman" w:hAnsi="Times New Roman"/>
      <w:sz w:val="24"/>
      <w:lang w:val="es-CO" w:eastAsia="es-CO"/>
    </w:rPr>
  </w:style>
  <w:style w:type="character" w:customStyle="1" w:styleId="halyaf">
    <w:name w:val="halyaf"/>
    <w:basedOn w:val="Fuentedeprrafopredeter"/>
    <w:rsid w:val="00407889"/>
  </w:style>
  <w:style w:type="character" w:customStyle="1" w:styleId="hzbzlf">
    <w:name w:val="hzbzlf"/>
    <w:basedOn w:val="Fuentedeprrafopredeter"/>
    <w:rsid w:val="00577D00"/>
  </w:style>
  <w:style w:type="paragraph" w:customStyle="1" w:styleId="Default">
    <w:name w:val="Default"/>
    <w:rsid w:val="00857CAF"/>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5C1E54"/>
    <w:rPr>
      <w:sz w:val="20"/>
      <w:szCs w:val="20"/>
    </w:rPr>
  </w:style>
  <w:style w:type="character" w:customStyle="1" w:styleId="TextonotaalfinalCar">
    <w:name w:val="Texto nota al final Car"/>
    <w:basedOn w:val="Fuentedeprrafopredeter"/>
    <w:link w:val="Textonotaalfinal"/>
    <w:uiPriority w:val="99"/>
    <w:semiHidden/>
    <w:rsid w:val="005C1E54"/>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5C1E54"/>
    <w:rPr>
      <w:vertAlign w:val="superscript"/>
    </w:rPr>
  </w:style>
  <w:style w:type="paragraph" w:styleId="Textonotapie">
    <w:name w:val="footnote text"/>
    <w:basedOn w:val="Normal"/>
    <w:link w:val="TextonotapieCar"/>
    <w:uiPriority w:val="99"/>
    <w:semiHidden/>
    <w:unhideWhenUsed/>
    <w:rsid w:val="005C1E54"/>
    <w:rPr>
      <w:sz w:val="20"/>
      <w:szCs w:val="20"/>
    </w:rPr>
  </w:style>
  <w:style w:type="character" w:customStyle="1" w:styleId="TextonotapieCar">
    <w:name w:val="Texto nota pie Car"/>
    <w:basedOn w:val="Fuentedeprrafopredeter"/>
    <w:link w:val="Textonotapie"/>
    <w:uiPriority w:val="99"/>
    <w:semiHidden/>
    <w:rsid w:val="005C1E54"/>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5C1E54"/>
    <w:rPr>
      <w:vertAlign w:val="superscript"/>
    </w:rPr>
  </w:style>
  <w:style w:type="character" w:customStyle="1" w:styleId="Ttulo3Car">
    <w:name w:val="Título 3 Car"/>
    <w:basedOn w:val="Fuentedeprrafopredeter"/>
    <w:link w:val="Ttulo3"/>
    <w:uiPriority w:val="9"/>
    <w:semiHidden/>
    <w:rsid w:val="00A90021"/>
    <w:rPr>
      <w:rFonts w:asciiTheme="majorHAnsi" w:eastAsiaTheme="majorEastAsia" w:hAnsiTheme="majorHAnsi" w:cstheme="majorBidi"/>
      <w:color w:val="1F3763" w:themeColor="accent1" w:themeShade="7F"/>
      <w:sz w:val="24"/>
      <w:szCs w:val="24"/>
      <w:lang w:val="es-ES" w:eastAsia="es-ES"/>
    </w:rPr>
  </w:style>
  <w:style w:type="character" w:styleId="Textoennegrita">
    <w:name w:val="Strong"/>
    <w:basedOn w:val="Fuentedeprrafopredeter"/>
    <w:qFormat/>
    <w:rsid w:val="00A90021"/>
    <w:rPr>
      <w:b/>
      <w:bCs/>
    </w:rPr>
  </w:style>
  <w:style w:type="paragraph" w:styleId="Textoindependiente">
    <w:name w:val="Body Text"/>
    <w:basedOn w:val="Normal"/>
    <w:link w:val="TextoindependienteCar"/>
    <w:rsid w:val="00A90021"/>
    <w:pPr>
      <w:widowControl w:val="0"/>
      <w:pBdr>
        <w:top w:val="none" w:sz="0" w:space="0" w:color="000000"/>
        <w:left w:val="none" w:sz="0" w:space="0" w:color="000000"/>
        <w:bottom w:val="none" w:sz="0" w:space="0" w:color="000000"/>
        <w:right w:val="none" w:sz="0" w:space="0" w:color="000000"/>
      </w:pBdr>
      <w:autoSpaceDN/>
      <w:spacing w:after="120"/>
      <w:jc w:val="left"/>
    </w:pPr>
    <w:rPr>
      <w:rFonts w:ascii="Liberation Serif" w:eastAsia="DejaVu Sans" w:hAnsi="Liberation Serif" w:cs="DejaVu Sans"/>
      <w:kern w:val="1"/>
      <w:sz w:val="24"/>
      <w:lang w:val="es-CO" w:eastAsia="zh-CN"/>
    </w:rPr>
  </w:style>
  <w:style w:type="character" w:customStyle="1" w:styleId="TextoindependienteCar">
    <w:name w:val="Texto independiente Car"/>
    <w:basedOn w:val="Fuentedeprrafopredeter"/>
    <w:link w:val="Textoindependiente"/>
    <w:rsid w:val="00A90021"/>
    <w:rPr>
      <w:rFonts w:ascii="Liberation Serif" w:eastAsia="DejaVu Sans" w:hAnsi="Liberation Serif" w:cs="DejaVu Sans"/>
      <w:kern w:val="1"/>
      <w:sz w:val="24"/>
      <w:szCs w:val="24"/>
      <w:lang w:eastAsia="zh-CN"/>
    </w:rPr>
  </w:style>
  <w:style w:type="paragraph" w:customStyle="1" w:styleId="TtulodeTDC1">
    <w:name w:val="Título de TDC1"/>
    <w:basedOn w:val="Ttulo1"/>
    <w:next w:val="Normal"/>
    <w:rsid w:val="00A90021"/>
    <w:pPr>
      <w:keepLines w:val="0"/>
      <w:widowControl w:val="0"/>
      <w:autoSpaceDN/>
      <w:spacing w:after="60" w:line="100" w:lineRule="atLeast"/>
      <w:jc w:val="left"/>
      <w:textAlignment w:val="auto"/>
    </w:pPr>
    <w:rPr>
      <w:rFonts w:ascii="Cambria" w:eastAsia="Times New Roman" w:hAnsi="Cambria" w:cs="Times New Roman"/>
      <w:bCs/>
      <w:sz w:val="36"/>
      <w:szCs w:val="36"/>
      <w:lang w:val="es-C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345">
      <w:bodyDiv w:val="1"/>
      <w:marLeft w:val="0"/>
      <w:marRight w:val="0"/>
      <w:marTop w:val="0"/>
      <w:marBottom w:val="0"/>
      <w:divBdr>
        <w:top w:val="none" w:sz="0" w:space="0" w:color="auto"/>
        <w:left w:val="none" w:sz="0" w:space="0" w:color="auto"/>
        <w:bottom w:val="none" w:sz="0" w:space="0" w:color="auto"/>
        <w:right w:val="none" w:sz="0" w:space="0" w:color="auto"/>
      </w:divBdr>
    </w:div>
    <w:div w:id="128524779">
      <w:bodyDiv w:val="1"/>
      <w:marLeft w:val="0"/>
      <w:marRight w:val="0"/>
      <w:marTop w:val="0"/>
      <w:marBottom w:val="0"/>
      <w:divBdr>
        <w:top w:val="none" w:sz="0" w:space="0" w:color="auto"/>
        <w:left w:val="none" w:sz="0" w:space="0" w:color="auto"/>
        <w:bottom w:val="none" w:sz="0" w:space="0" w:color="auto"/>
        <w:right w:val="none" w:sz="0" w:space="0" w:color="auto"/>
      </w:divBdr>
      <w:divsChild>
        <w:div w:id="2049065101">
          <w:marLeft w:val="0"/>
          <w:marRight w:val="0"/>
          <w:marTop w:val="0"/>
          <w:marBottom w:val="0"/>
          <w:divBdr>
            <w:top w:val="none" w:sz="0" w:space="0" w:color="auto"/>
            <w:left w:val="none" w:sz="0" w:space="0" w:color="auto"/>
            <w:bottom w:val="none" w:sz="0" w:space="0" w:color="auto"/>
            <w:right w:val="none" w:sz="0" w:space="0" w:color="auto"/>
          </w:divBdr>
        </w:div>
        <w:div w:id="2132363393">
          <w:marLeft w:val="0"/>
          <w:marRight w:val="0"/>
          <w:marTop w:val="0"/>
          <w:marBottom w:val="0"/>
          <w:divBdr>
            <w:top w:val="none" w:sz="0" w:space="0" w:color="auto"/>
            <w:left w:val="none" w:sz="0" w:space="0" w:color="auto"/>
            <w:bottom w:val="none" w:sz="0" w:space="0" w:color="auto"/>
            <w:right w:val="none" w:sz="0" w:space="0" w:color="auto"/>
          </w:divBdr>
        </w:div>
        <w:div w:id="611785491">
          <w:marLeft w:val="0"/>
          <w:marRight w:val="0"/>
          <w:marTop w:val="0"/>
          <w:marBottom w:val="0"/>
          <w:divBdr>
            <w:top w:val="none" w:sz="0" w:space="0" w:color="auto"/>
            <w:left w:val="none" w:sz="0" w:space="0" w:color="auto"/>
            <w:bottom w:val="none" w:sz="0" w:space="0" w:color="auto"/>
            <w:right w:val="none" w:sz="0" w:space="0" w:color="auto"/>
          </w:divBdr>
        </w:div>
        <w:div w:id="778641302">
          <w:marLeft w:val="0"/>
          <w:marRight w:val="0"/>
          <w:marTop w:val="0"/>
          <w:marBottom w:val="0"/>
          <w:divBdr>
            <w:top w:val="none" w:sz="0" w:space="0" w:color="auto"/>
            <w:left w:val="none" w:sz="0" w:space="0" w:color="auto"/>
            <w:bottom w:val="none" w:sz="0" w:space="0" w:color="auto"/>
            <w:right w:val="none" w:sz="0" w:space="0" w:color="auto"/>
          </w:divBdr>
        </w:div>
        <w:div w:id="1514301357">
          <w:marLeft w:val="0"/>
          <w:marRight w:val="0"/>
          <w:marTop w:val="0"/>
          <w:marBottom w:val="0"/>
          <w:divBdr>
            <w:top w:val="none" w:sz="0" w:space="0" w:color="auto"/>
            <w:left w:val="none" w:sz="0" w:space="0" w:color="auto"/>
            <w:bottom w:val="none" w:sz="0" w:space="0" w:color="auto"/>
            <w:right w:val="none" w:sz="0" w:space="0" w:color="auto"/>
          </w:divBdr>
        </w:div>
        <w:div w:id="64768172">
          <w:marLeft w:val="0"/>
          <w:marRight w:val="0"/>
          <w:marTop w:val="0"/>
          <w:marBottom w:val="0"/>
          <w:divBdr>
            <w:top w:val="none" w:sz="0" w:space="0" w:color="auto"/>
            <w:left w:val="none" w:sz="0" w:space="0" w:color="auto"/>
            <w:bottom w:val="none" w:sz="0" w:space="0" w:color="auto"/>
            <w:right w:val="none" w:sz="0" w:space="0" w:color="auto"/>
          </w:divBdr>
        </w:div>
        <w:div w:id="2120761185">
          <w:marLeft w:val="0"/>
          <w:marRight w:val="0"/>
          <w:marTop w:val="0"/>
          <w:marBottom w:val="0"/>
          <w:divBdr>
            <w:top w:val="none" w:sz="0" w:space="0" w:color="auto"/>
            <w:left w:val="none" w:sz="0" w:space="0" w:color="auto"/>
            <w:bottom w:val="none" w:sz="0" w:space="0" w:color="auto"/>
            <w:right w:val="none" w:sz="0" w:space="0" w:color="auto"/>
          </w:divBdr>
        </w:div>
        <w:div w:id="257174508">
          <w:marLeft w:val="0"/>
          <w:marRight w:val="0"/>
          <w:marTop w:val="0"/>
          <w:marBottom w:val="0"/>
          <w:divBdr>
            <w:top w:val="none" w:sz="0" w:space="0" w:color="auto"/>
            <w:left w:val="none" w:sz="0" w:space="0" w:color="auto"/>
            <w:bottom w:val="none" w:sz="0" w:space="0" w:color="auto"/>
            <w:right w:val="none" w:sz="0" w:space="0" w:color="auto"/>
          </w:divBdr>
        </w:div>
        <w:div w:id="517161255">
          <w:marLeft w:val="0"/>
          <w:marRight w:val="0"/>
          <w:marTop w:val="0"/>
          <w:marBottom w:val="0"/>
          <w:divBdr>
            <w:top w:val="none" w:sz="0" w:space="0" w:color="auto"/>
            <w:left w:val="none" w:sz="0" w:space="0" w:color="auto"/>
            <w:bottom w:val="none" w:sz="0" w:space="0" w:color="auto"/>
            <w:right w:val="none" w:sz="0" w:space="0" w:color="auto"/>
          </w:divBdr>
        </w:div>
        <w:div w:id="23949900">
          <w:marLeft w:val="0"/>
          <w:marRight w:val="0"/>
          <w:marTop w:val="0"/>
          <w:marBottom w:val="0"/>
          <w:divBdr>
            <w:top w:val="none" w:sz="0" w:space="0" w:color="auto"/>
            <w:left w:val="none" w:sz="0" w:space="0" w:color="auto"/>
            <w:bottom w:val="none" w:sz="0" w:space="0" w:color="auto"/>
            <w:right w:val="none" w:sz="0" w:space="0" w:color="auto"/>
          </w:divBdr>
        </w:div>
      </w:divsChild>
    </w:div>
    <w:div w:id="232088462">
      <w:bodyDiv w:val="1"/>
      <w:marLeft w:val="0"/>
      <w:marRight w:val="0"/>
      <w:marTop w:val="0"/>
      <w:marBottom w:val="0"/>
      <w:divBdr>
        <w:top w:val="none" w:sz="0" w:space="0" w:color="auto"/>
        <w:left w:val="none" w:sz="0" w:space="0" w:color="auto"/>
        <w:bottom w:val="none" w:sz="0" w:space="0" w:color="auto"/>
        <w:right w:val="none" w:sz="0" w:space="0" w:color="auto"/>
      </w:divBdr>
      <w:divsChild>
        <w:div w:id="335614914">
          <w:marLeft w:val="0"/>
          <w:marRight w:val="0"/>
          <w:marTop w:val="0"/>
          <w:marBottom w:val="0"/>
          <w:divBdr>
            <w:top w:val="none" w:sz="0" w:space="0" w:color="auto"/>
            <w:left w:val="none" w:sz="0" w:space="0" w:color="auto"/>
            <w:bottom w:val="none" w:sz="0" w:space="0" w:color="auto"/>
            <w:right w:val="none" w:sz="0" w:space="0" w:color="auto"/>
          </w:divBdr>
          <w:divsChild>
            <w:div w:id="1746102874">
              <w:marLeft w:val="0"/>
              <w:marRight w:val="0"/>
              <w:marTop w:val="0"/>
              <w:marBottom w:val="0"/>
              <w:divBdr>
                <w:top w:val="none" w:sz="0" w:space="0" w:color="auto"/>
                <w:left w:val="none" w:sz="0" w:space="0" w:color="auto"/>
                <w:bottom w:val="none" w:sz="0" w:space="0" w:color="auto"/>
                <w:right w:val="none" w:sz="0" w:space="0" w:color="auto"/>
              </w:divBdr>
              <w:divsChild>
                <w:div w:id="2024356661">
                  <w:marLeft w:val="0"/>
                  <w:marRight w:val="0"/>
                  <w:marTop w:val="0"/>
                  <w:marBottom w:val="0"/>
                  <w:divBdr>
                    <w:top w:val="none" w:sz="0" w:space="0" w:color="auto"/>
                    <w:left w:val="none" w:sz="0" w:space="0" w:color="auto"/>
                    <w:bottom w:val="none" w:sz="0" w:space="0" w:color="auto"/>
                    <w:right w:val="none" w:sz="0" w:space="0" w:color="auto"/>
                  </w:divBdr>
                  <w:divsChild>
                    <w:div w:id="1219391267">
                      <w:marLeft w:val="0"/>
                      <w:marRight w:val="0"/>
                      <w:marTop w:val="0"/>
                      <w:marBottom w:val="0"/>
                      <w:divBdr>
                        <w:top w:val="none" w:sz="0" w:space="0" w:color="auto"/>
                        <w:left w:val="none" w:sz="0" w:space="0" w:color="auto"/>
                        <w:bottom w:val="none" w:sz="0" w:space="0" w:color="auto"/>
                        <w:right w:val="none" w:sz="0" w:space="0" w:color="auto"/>
                      </w:divBdr>
                      <w:divsChild>
                        <w:div w:id="1643776626">
                          <w:marLeft w:val="60"/>
                          <w:marRight w:val="0"/>
                          <w:marTop w:val="0"/>
                          <w:marBottom w:val="0"/>
                          <w:divBdr>
                            <w:top w:val="none" w:sz="0" w:space="0" w:color="auto"/>
                            <w:left w:val="none" w:sz="0" w:space="0" w:color="auto"/>
                            <w:bottom w:val="none" w:sz="0" w:space="0" w:color="auto"/>
                            <w:right w:val="none" w:sz="0" w:space="0" w:color="auto"/>
                          </w:divBdr>
                          <w:divsChild>
                            <w:div w:id="1391150808">
                              <w:marLeft w:val="0"/>
                              <w:marRight w:val="0"/>
                              <w:marTop w:val="0"/>
                              <w:marBottom w:val="0"/>
                              <w:divBdr>
                                <w:top w:val="none" w:sz="0" w:space="0" w:color="auto"/>
                                <w:left w:val="none" w:sz="0" w:space="0" w:color="auto"/>
                                <w:bottom w:val="none" w:sz="0" w:space="0" w:color="auto"/>
                                <w:right w:val="none" w:sz="0" w:space="0" w:color="auto"/>
                              </w:divBdr>
                              <w:divsChild>
                                <w:div w:id="27586855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643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9699">
      <w:bodyDiv w:val="1"/>
      <w:marLeft w:val="0"/>
      <w:marRight w:val="0"/>
      <w:marTop w:val="0"/>
      <w:marBottom w:val="0"/>
      <w:divBdr>
        <w:top w:val="none" w:sz="0" w:space="0" w:color="auto"/>
        <w:left w:val="none" w:sz="0" w:space="0" w:color="auto"/>
        <w:bottom w:val="none" w:sz="0" w:space="0" w:color="auto"/>
        <w:right w:val="none" w:sz="0" w:space="0" w:color="auto"/>
      </w:divBdr>
    </w:div>
    <w:div w:id="308948004">
      <w:bodyDiv w:val="1"/>
      <w:marLeft w:val="0"/>
      <w:marRight w:val="0"/>
      <w:marTop w:val="0"/>
      <w:marBottom w:val="0"/>
      <w:divBdr>
        <w:top w:val="none" w:sz="0" w:space="0" w:color="auto"/>
        <w:left w:val="none" w:sz="0" w:space="0" w:color="auto"/>
        <w:bottom w:val="none" w:sz="0" w:space="0" w:color="auto"/>
        <w:right w:val="none" w:sz="0" w:space="0" w:color="auto"/>
      </w:divBdr>
    </w:div>
    <w:div w:id="349332179">
      <w:bodyDiv w:val="1"/>
      <w:marLeft w:val="0"/>
      <w:marRight w:val="0"/>
      <w:marTop w:val="0"/>
      <w:marBottom w:val="0"/>
      <w:divBdr>
        <w:top w:val="none" w:sz="0" w:space="0" w:color="auto"/>
        <w:left w:val="none" w:sz="0" w:space="0" w:color="auto"/>
        <w:bottom w:val="none" w:sz="0" w:space="0" w:color="auto"/>
        <w:right w:val="none" w:sz="0" w:space="0" w:color="auto"/>
      </w:divBdr>
      <w:divsChild>
        <w:div w:id="1362197120">
          <w:marLeft w:val="0"/>
          <w:marRight w:val="0"/>
          <w:marTop w:val="0"/>
          <w:marBottom w:val="0"/>
          <w:divBdr>
            <w:top w:val="none" w:sz="0" w:space="0" w:color="auto"/>
            <w:left w:val="none" w:sz="0" w:space="0" w:color="auto"/>
            <w:bottom w:val="none" w:sz="0" w:space="0" w:color="auto"/>
            <w:right w:val="none" w:sz="0" w:space="0" w:color="auto"/>
          </w:divBdr>
          <w:divsChild>
            <w:div w:id="1632518991">
              <w:marLeft w:val="0"/>
              <w:marRight w:val="0"/>
              <w:marTop w:val="0"/>
              <w:marBottom w:val="0"/>
              <w:divBdr>
                <w:top w:val="none" w:sz="0" w:space="0" w:color="auto"/>
                <w:left w:val="none" w:sz="0" w:space="0" w:color="auto"/>
                <w:bottom w:val="none" w:sz="0" w:space="0" w:color="auto"/>
                <w:right w:val="none" w:sz="0" w:space="0" w:color="auto"/>
              </w:divBdr>
              <w:divsChild>
                <w:div w:id="910625495">
                  <w:marLeft w:val="0"/>
                  <w:marRight w:val="0"/>
                  <w:marTop w:val="0"/>
                  <w:marBottom w:val="0"/>
                  <w:divBdr>
                    <w:top w:val="none" w:sz="0" w:space="0" w:color="auto"/>
                    <w:left w:val="none" w:sz="0" w:space="0" w:color="auto"/>
                    <w:bottom w:val="none" w:sz="0" w:space="0" w:color="auto"/>
                    <w:right w:val="none" w:sz="0" w:space="0" w:color="auto"/>
                  </w:divBdr>
                  <w:divsChild>
                    <w:div w:id="19099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5269">
          <w:marLeft w:val="60"/>
          <w:marRight w:val="0"/>
          <w:marTop w:val="0"/>
          <w:marBottom w:val="0"/>
          <w:divBdr>
            <w:top w:val="none" w:sz="0" w:space="0" w:color="auto"/>
            <w:left w:val="none" w:sz="0" w:space="0" w:color="auto"/>
            <w:bottom w:val="none" w:sz="0" w:space="0" w:color="auto"/>
            <w:right w:val="none" w:sz="0" w:space="0" w:color="auto"/>
          </w:divBdr>
          <w:divsChild>
            <w:div w:id="2019774079">
              <w:marLeft w:val="0"/>
              <w:marRight w:val="0"/>
              <w:marTop w:val="0"/>
              <w:marBottom w:val="0"/>
              <w:divBdr>
                <w:top w:val="none" w:sz="0" w:space="0" w:color="auto"/>
                <w:left w:val="none" w:sz="0" w:space="0" w:color="auto"/>
                <w:bottom w:val="none" w:sz="0" w:space="0" w:color="auto"/>
                <w:right w:val="none" w:sz="0" w:space="0" w:color="auto"/>
              </w:divBdr>
              <w:divsChild>
                <w:div w:id="48667559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61248444">
      <w:bodyDiv w:val="1"/>
      <w:marLeft w:val="0"/>
      <w:marRight w:val="0"/>
      <w:marTop w:val="0"/>
      <w:marBottom w:val="0"/>
      <w:divBdr>
        <w:top w:val="none" w:sz="0" w:space="0" w:color="auto"/>
        <w:left w:val="none" w:sz="0" w:space="0" w:color="auto"/>
        <w:bottom w:val="none" w:sz="0" w:space="0" w:color="auto"/>
        <w:right w:val="none" w:sz="0" w:space="0" w:color="auto"/>
      </w:divBdr>
      <w:divsChild>
        <w:div w:id="1445733202">
          <w:marLeft w:val="0"/>
          <w:marRight w:val="0"/>
          <w:marTop w:val="0"/>
          <w:marBottom w:val="0"/>
          <w:divBdr>
            <w:top w:val="none" w:sz="0" w:space="0" w:color="auto"/>
            <w:left w:val="none" w:sz="0" w:space="0" w:color="auto"/>
            <w:bottom w:val="none" w:sz="0" w:space="0" w:color="auto"/>
            <w:right w:val="none" w:sz="0" w:space="0" w:color="auto"/>
          </w:divBdr>
          <w:divsChild>
            <w:div w:id="151718684">
              <w:marLeft w:val="135"/>
              <w:marRight w:val="135"/>
              <w:marTop w:val="0"/>
              <w:marBottom w:val="90"/>
              <w:divBdr>
                <w:top w:val="none" w:sz="0" w:space="0" w:color="auto"/>
                <w:left w:val="none" w:sz="0" w:space="0" w:color="auto"/>
                <w:bottom w:val="none" w:sz="0" w:space="0" w:color="auto"/>
                <w:right w:val="none" w:sz="0" w:space="0" w:color="auto"/>
              </w:divBdr>
            </w:div>
            <w:div w:id="1306004340">
              <w:marLeft w:val="135"/>
              <w:marRight w:val="135"/>
              <w:marTop w:val="0"/>
              <w:marBottom w:val="90"/>
              <w:divBdr>
                <w:top w:val="none" w:sz="0" w:space="0" w:color="auto"/>
                <w:left w:val="none" w:sz="0" w:space="0" w:color="auto"/>
                <w:bottom w:val="none" w:sz="0" w:space="0" w:color="auto"/>
                <w:right w:val="none" w:sz="0" w:space="0" w:color="auto"/>
              </w:divBdr>
            </w:div>
            <w:div w:id="19728618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363751584">
      <w:bodyDiv w:val="1"/>
      <w:marLeft w:val="0"/>
      <w:marRight w:val="0"/>
      <w:marTop w:val="0"/>
      <w:marBottom w:val="0"/>
      <w:divBdr>
        <w:top w:val="none" w:sz="0" w:space="0" w:color="auto"/>
        <w:left w:val="none" w:sz="0" w:space="0" w:color="auto"/>
        <w:bottom w:val="none" w:sz="0" w:space="0" w:color="auto"/>
        <w:right w:val="none" w:sz="0" w:space="0" w:color="auto"/>
      </w:divBdr>
      <w:divsChild>
        <w:div w:id="602961849">
          <w:marLeft w:val="135"/>
          <w:marRight w:val="135"/>
          <w:marTop w:val="0"/>
          <w:marBottom w:val="90"/>
          <w:divBdr>
            <w:top w:val="none" w:sz="0" w:space="0" w:color="auto"/>
            <w:left w:val="none" w:sz="0" w:space="0" w:color="auto"/>
            <w:bottom w:val="none" w:sz="0" w:space="0" w:color="auto"/>
            <w:right w:val="none" w:sz="0" w:space="0" w:color="auto"/>
          </w:divBdr>
        </w:div>
        <w:div w:id="341973428">
          <w:marLeft w:val="135"/>
          <w:marRight w:val="135"/>
          <w:marTop w:val="0"/>
          <w:marBottom w:val="90"/>
          <w:divBdr>
            <w:top w:val="none" w:sz="0" w:space="0" w:color="auto"/>
            <w:left w:val="none" w:sz="0" w:space="0" w:color="auto"/>
            <w:bottom w:val="none" w:sz="0" w:space="0" w:color="auto"/>
            <w:right w:val="none" w:sz="0" w:space="0" w:color="auto"/>
          </w:divBdr>
        </w:div>
      </w:divsChild>
    </w:div>
    <w:div w:id="376856952">
      <w:bodyDiv w:val="1"/>
      <w:marLeft w:val="0"/>
      <w:marRight w:val="0"/>
      <w:marTop w:val="0"/>
      <w:marBottom w:val="0"/>
      <w:divBdr>
        <w:top w:val="none" w:sz="0" w:space="0" w:color="auto"/>
        <w:left w:val="none" w:sz="0" w:space="0" w:color="auto"/>
        <w:bottom w:val="none" w:sz="0" w:space="0" w:color="auto"/>
        <w:right w:val="none" w:sz="0" w:space="0" w:color="auto"/>
      </w:divBdr>
    </w:div>
    <w:div w:id="413363461">
      <w:bodyDiv w:val="1"/>
      <w:marLeft w:val="0"/>
      <w:marRight w:val="0"/>
      <w:marTop w:val="0"/>
      <w:marBottom w:val="0"/>
      <w:divBdr>
        <w:top w:val="none" w:sz="0" w:space="0" w:color="auto"/>
        <w:left w:val="none" w:sz="0" w:space="0" w:color="auto"/>
        <w:bottom w:val="none" w:sz="0" w:space="0" w:color="auto"/>
        <w:right w:val="none" w:sz="0" w:space="0" w:color="auto"/>
      </w:divBdr>
      <w:divsChild>
        <w:div w:id="1480918293">
          <w:marLeft w:val="0"/>
          <w:marRight w:val="0"/>
          <w:marTop w:val="0"/>
          <w:marBottom w:val="0"/>
          <w:divBdr>
            <w:top w:val="none" w:sz="0" w:space="0" w:color="auto"/>
            <w:left w:val="none" w:sz="0" w:space="0" w:color="auto"/>
            <w:bottom w:val="none" w:sz="0" w:space="0" w:color="auto"/>
            <w:right w:val="none" w:sz="0" w:space="0" w:color="auto"/>
          </w:divBdr>
          <w:divsChild>
            <w:div w:id="2118256836">
              <w:marLeft w:val="0"/>
              <w:marRight w:val="0"/>
              <w:marTop w:val="0"/>
              <w:marBottom w:val="0"/>
              <w:divBdr>
                <w:top w:val="none" w:sz="0" w:space="0" w:color="auto"/>
                <w:left w:val="none" w:sz="0" w:space="0" w:color="auto"/>
                <w:bottom w:val="none" w:sz="0" w:space="0" w:color="auto"/>
                <w:right w:val="none" w:sz="0" w:space="0" w:color="auto"/>
              </w:divBdr>
              <w:divsChild>
                <w:div w:id="1960985204">
                  <w:marLeft w:val="0"/>
                  <w:marRight w:val="0"/>
                  <w:marTop w:val="0"/>
                  <w:marBottom w:val="0"/>
                  <w:divBdr>
                    <w:top w:val="none" w:sz="0" w:space="0" w:color="auto"/>
                    <w:left w:val="none" w:sz="0" w:space="0" w:color="auto"/>
                    <w:bottom w:val="none" w:sz="0" w:space="0" w:color="auto"/>
                    <w:right w:val="none" w:sz="0" w:space="0" w:color="auto"/>
                  </w:divBdr>
                  <w:divsChild>
                    <w:div w:id="524055073">
                      <w:marLeft w:val="60"/>
                      <w:marRight w:val="0"/>
                      <w:marTop w:val="0"/>
                      <w:marBottom w:val="0"/>
                      <w:divBdr>
                        <w:top w:val="none" w:sz="0" w:space="0" w:color="auto"/>
                        <w:left w:val="none" w:sz="0" w:space="0" w:color="auto"/>
                        <w:bottom w:val="none" w:sz="0" w:space="0" w:color="auto"/>
                        <w:right w:val="none" w:sz="0" w:space="0" w:color="auto"/>
                      </w:divBdr>
                      <w:divsChild>
                        <w:div w:id="1774518790">
                          <w:marLeft w:val="0"/>
                          <w:marRight w:val="0"/>
                          <w:marTop w:val="0"/>
                          <w:marBottom w:val="0"/>
                          <w:divBdr>
                            <w:top w:val="none" w:sz="0" w:space="0" w:color="auto"/>
                            <w:left w:val="none" w:sz="0" w:space="0" w:color="auto"/>
                            <w:bottom w:val="none" w:sz="0" w:space="0" w:color="auto"/>
                            <w:right w:val="none" w:sz="0" w:space="0" w:color="auto"/>
                          </w:divBdr>
                          <w:divsChild>
                            <w:div w:id="146145747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28667696">
          <w:marLeft w:val="0"/>
          <w:marRight w:val="0"/>
          <w:marTop w:val="0"/>
          <w:marBottom w:val="0"/>
          <w:divBdr>
            <w:top w:val="none" w:sz="0" w:space="0" w:color="auto"/>
            <w:left w:val="none" w:sz="0" w:space="0" w:color="auto"/>
            <w:bottom w:val="none" w:sz="0" w:space="0" w:color="auto"/>
            <w:right w:val="none" w:sz="0" w:space="0" w:color="auto"/>
          </w:divBdr>
        </w:div>
        <w:div w:id="1794009253">
          <w:marLeft w:val="0"/>
          <w:marRight w:val="0"/>
          <w:marTop w:val="0"/>
          <w:marBottom w:val="0"/>
          <w:divBdr>
            <w:top w:val="none" w:sz="0" w:space="0" w:color="auto"/>
            <w:left w:val="none" w:sz="0" w:space="0" w:color="auto"/>
            <w:bottom w:val="none" w:sz="0" w:space="0" w:color="auto"/>
            <w:right w:val="none" w:sz="0" w:space="0" w:color="auto"/>
          </w:divBdr>
          <w:divsChild>
            <w:div w:id="1239824454">
              <w:marLeft w:val="0"/>
              <w:marRight w:val="0"/>
              <w:marTop w:val="0"/>
              <w:marBottom w:val="0"/>
              <w:divBdr>
                <w:top w:val="none" w:sz="0" w:space="0" w:color="auto"/>
                <w:left w:val="none" w:sz="0" w:space="0" w:color="auto"/>
                <w:bottom w:val="none" w:sz="0" w:space="0" w:color="auto"/>
                <w:right w:val="none" w:sz="0" w:space="0" w:color="auto"/>
              </w:divBdr>
              <w:divsChild>
                <w:div w:id="398090712">
                  <w:marLeft w:val="0"/>
                  <w:marRight w:val="0"/>
                  <w:marTop w:val="0"/>
                  <w:marBottom w:val="0"/>
                  <w:divBdr>
                    <w:top w:val="none" w:sz="0" w:space="0" w:color="auto"/>
                    <w:left w:val="none" w:sz="0" w:space="0" w:color="auto"/>
                    <w:bottom w:val="none" w:sz="0" w:space="0" w:color="auto"/>
                    <w:right w:val="none" w:sz="0" w:space="0" w:color="auto"/>
                  </w:divBdr>
                  <w:divsChild>
                    <w:div w:id="345599874">
                      <w:marLeft w:val="0"/>
                      <w:marRight w:val="0"/>
                      <w:marTop w:val="0"/>
                      <w:marBottom w:val="0"/>
                      <w:divBdr>
                        <w:top w:val="none" w:sz="0" w:space="0" w:color="auto"/>
                        <w:left w:val="none" w:sz="0" w:space="0" w:color="auto"/>
                        <w:bottom w:val="none" w:sz="0" w:space="0" w:color="auto"/>
                        <w:right w:val="none" w:sz="0" w:space="0" w:color="auto"/>
                      </w:divBdr>
                      <w:divsChild>
                        <w:div w:id="2138378779">
                          <w:marLeft w:val="0"/>
                          <w:marRight w:val="0"/>
                          <w:marTop w:val="0"/>
                          <w:marBottom w:val="0"/>
                          <w:divBdr>
                            <w:top w:val="none" w:sz="0" w:space="0" w:color="auto"/>
                            <w:left w:val="none" w:sz="0" w:space="0" w:color="auto"/>
                            <w:bottom w:val="none" w:sz="0" w:space="0" w:color="auto"/>
                            <w:right w:val="none" w:sz="0" w:space="0" w:color="auto"/>
                          </w:divBdr>
                          <w:divsChild>
                            <w:div w:id="274099581">
                              <w:marLeft w:val="0"/>
                              <w:marRight w:val="0"/>
                              <w:marTop w:val="0"/>
                              <w:marBottom w:val="0"/>
                              <w:divBdr>
                                <w:top w:val="none" w:sz="0" w:space="0" w:color="auto"/>
                                <w:left w:val="none" w:sz="0" w:space="0" w:color="auto"/>
                                <w:bottom w:val="none" w:sz="0" w:space="0" w:color="auto"/>
                                <w:right w:val="none" w:sz="0" w:space="0" w:color="auto"/>
                              </w:divBdr>
                              <w:divsChild>
                                <w:div w:id="16846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868">
                      <w:marLeft w:val="60"/>
                      <w:marRight w:val="0"/>
                      <w:marTop w:val="0"/>
                      <w:marBottom w:val="0"/>
                      <w:divBdr>
                        <w:top w:val="none" w:sz="0" w:space="0" w:color="auto"/>
                        <w:left w:val="none" w:sz="0" w:space="0" w:color="auto"/>
                        <w:bottom w:val="none" w:sz="0" w:space="0" w:color="auto"/>
                        <w:right w:val="none" w:sz="0" w:space="0" w:color="auto"/>
                      </w:divBdr>
                      <w:divsChild>
                        <w:div w:id="890534069">
                          <w:marLeft w:val="0"/>
                          <w:marRight w:val="0"/>
                          <w:marTop w:val="0"/>
                          <w:marBottom w:val="0"/>
                          <w:divBdr>
                            <w:top w:val="none" w:sz="0" w:space="0" w:color="auto"/>
                            <w:left w:val="none" w:sz="0" w:space="0" w:color="auto"/>
                            <w:bottom w:val="none" w:sz="0" w:space="0" w:color="auto"/>
                            <w:right w:val="none" w:sz="0" w:space="0" w:color="auto"/>
                          </w:divBdr>
                          <w:divsChild>
                            <w:div w:id="1770384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041958">
      <w:bodyDiv w:val="1"/>
      <w:marLeft w:val="0"/>
      <w:marRight w:val="0"/>
      <w:marTop w:val="0"/>
      <w:marBottom w:val="0"/>
      <w:divBdr>
        <w:top w:val="none" w:sz="0" w:space="0" w:color="auto"/>
        <w:left w:val="none" w:sz="0" w:space="0" w:color="auto"/>
        <w:bottom w:val="none" w:sz="0" w:space="0" w:color="auto"/>
        <w:right w:val="none" w:sz="0" w:space="0" w:color="auto"/>
      </w:divBdr>
    </w:div>
    <w:div w:id="588588650">
      <w:bodyDiv w:val="1"/>
      <w:marLeft w:val="0"/>
      <w:marRight w:val="0"/>
      <w:marTop w:val="0"/>
      <w:marBottom w:val="0"/>
      <w:divBdr>
        <w:top w:val="none" w:sz="0" w:space="0" w:color="auto"/>
        <w:left w:val="none" w:sz="0" w:space="0" w:color="auto"/>
        <w:bottom w:val="none" w:sz="0" w:space="0" w:color="auto"/>
        <w:right w:val="none" w:sz="0" w:space="0" w:color="auto"/>
      </w:divBdr>
    </w:div>
    <w:div w:id="616910561">
      <w:bodyDiv w:val="1"/>
      <w:marLeft w:val="0"/>
      <w:marRight w:val="0"/>
      <w:marTop w:val="0"/>
      <w:marBottom w:val="0"/>
      <w:divBdr>
        <w:top w:val="none" w:sz="0" w:space="0" w:color="auto"/>
        <w:left w:val="none" w:sz="0" w:space="0" w:color="auto"/>
        <w:bottom w:val="none" w:sz="0" w:space="0" w:color="auto"/>
        <w:right w:val="none" w:sz="0" w:space="0" w:color="auto"/>
      </w:divBdr>
    </w:div>
    <w:div w:id="622348810">
      <w:bodyDiv w:val="1"/>
      <w:marLeft w:val="0"/>
      <w:marRight w:val="0"/>
      <w:marTop w:val="0"/>
      <w:marBottom w:val="0"/>
      <w:divBdr>
        <w:top w:val="none" w:sz="0" w:space="0" w:color="auto"/>
        <w:left w:val="none" w:sz="0" w:space="0" w:color="auto"/>
        <w:bottom w:val="none" w:sz="0" w:space="0" w:color="auto"/>
        <w:right w:val="none" w:sz="0" w:space="0" w:color="auto"/>
      </w:divBdr>
    </w:div>
    <w:div w:id="660545018">
      <w:bodyDiv w:val="1"/>
      <w:marLeft w:val="0"/>
      <w:marRight w:val="0"/>
      <w:marTop w:val="0"/>
      <w:marBottom w:val="0"/>
      <w:divBdr>
        <w:top w:val="none" w:sz="0" w:space="0" w:color="auto"/>
        <w:left w:val="none" w:sz="0" w:space="0" w:color="auto"/>
        <w:bottom w:val="none" w:sz="0" w:space="0" w:color="auto"/>
        <w:right w:val="none" w:sz="0" w:space="0" w:color="auto"/>
      </w:divBdr>
    </w:div>
    <w:div w:id="796728313">
      <w:bodyDiv w:val="1"/>
      <w:marLeft w:val="0"/>
      <w:marRight w:val="0"/>
      <w:marTop w:val="0"/>
      <w:marBottom w:val="0"/>
      <w:divBdr>
        <w:top w:val="none" w:sz="0" w:space="0" w:color="auto"/>
        <w:left w:val="none" w:sz="0" w:space="0" w:color="auto"/>
        <w:bottom w:val="none" w:sz="0" w:space="0" w:color="auto"/>
        <w:right w:val="none" w:sz="0" w:space="0" w:color="auto"/>
      </w:divBdr>
    </w:div>
    <w:div w:id="867450556">
      <w:bodyDiv w:val="1"/>
      <w:marLeft w:val="0"/>
      <w:marRight w:val="0"/>
      <w:marTop w:val="0"/>
      <w:marBottom w:val="0"/>
      <w:divBdr>
        <w:top w:val="none" w:sz="0" w:space="0" w:color="auto"/>
        <w:left w:val="none" w:sz="0" w:space="0" w:color="auto"/>
        <w:bottom w:val="none" w:sz="0" w:space="0" w:color="auto"/>
        <w:right w:val="none" w:sz="0" w:space="0" w:color="auto"/>
      </w:divBdr>
    </w:div>
    <w:div w:id="876508612">
      <w:bodyDiv w:val="1"/>
      <w:marLeft w:val="0"/>
      <w:marRight w:val="0"/>
      <w:marTop w:val="0"/>
      <w:marBottom w:val="0"/>
      <w:divBdr>
        <w:top w:val="none" w:sz="0" w:space="0" w:color="auto"/>
        <w:left w:val="none" w:sz="0" w:space="0" w:color="auto"/>
        <w:bottom w:val="none" w:sz="0" w:space="0" w:color="auto"/>
        <w:right w:val="none" w:sz="0" w:space="0" w:color="auto"/>
      </w:divBdr>
      <w:divsChild>
        <w:div w:id="1152715061">
          <w:marLeft w:val="0"/>
          <w:marRight w:val="0"/>
          <w:marTop w:val="0"/>
          <w:marBottom w:val="0"/>
          <w:divBdr>
            <w:top w:val="none" w:sz="0" w:space="0" w:color="auto"/>
            <w:left w:val="none" w:sz="0" w:space="0" w:color="auto"/>
            <w:bottom w:val="none" w:sz="0" w:space="0" w:color="auto"/>
            <w:right w:val="none" w:sz="0" w:space="0" w:color="auto"/>
          </w:divBdr>
          <w:divsChild>
            <w:div w:id="678196594">
              <w:marLeft w:val="0"/>
              <w:marRight w:val="0"/>
              <w:marTop w:val="0"/>
              <w:marBottom w:val="0"/>
              <w:divBdr>
                <w:top w:val="none" w:sz="0" w:space="0" w:color="auto"/>
                <w:left w:val="none" w:sz="0" w:space="0" w:color="auto"/>
                <w:bottom w:val="none" w:sz="0" w:space="0" w:color="auto"/>
                <w:right w:val="none" w:sz="0" w:space="0" w:color="auto"/>
              </w:divBdr>
              <w:divsChild>
                <w:div w:id="1189682603">
                  <w:marLeft w:val="0"/>
                  <w:marRight w:val="0"/>
                  <w:marTop w:val="0"/>
                  <w:marBottom w:val="0"/>
                  <w:divBdr>
                    <w:top w:val="none" w:sz="0" w:space="0" w:color="auto"/>
                    <w:left w:val="none" w:sz="0" w:space="0" w:color="auto"/>
                    <w:bottom w:val="none" w:sz="0" w:space="0" w:color="auto"/>
                    <w:right w:val="none" w:sz="0" w:space="0" w:color="auto"/>
                  </w:divBdr>
                  <w:divsChild>
                    <w:div w:id="1743597843">
                      <w:marLeft w:val="0"/>
                      <w:marRight w:val="0"/>
                      <w:marTop w:val="0"/>
                      <w:marBottom w:val="0"/>
                      <w:divBdr>
                        <w:top w:val="none" w:sz="0" w:space="0" w:color="auto"/>
                        <w:left w:val="none" w:sz="0" w:space="0" w:color="auto"/>
                        <w:bottom w:val="none" w:sz="0" w:space="0" w:color="auto"/>
                        <w:right w:val="none" w:sz="0" w:space="0" w:color="auto"/>
                      </w:divBdr>
                      <w:divsChild>
                        <w:div w:id="941886431">
                          <w:marLeft w:val="60"/>
                          <w:marRight w:val="0"/>
                          <w:marTop w:val="0"/>
                          <w:marBottom w:val="0"/>
                          <w:divBdr>
                            <w:top w:val="none" w:sz="0" w:space="0" w:color="auto"/>
                            <w:left w:val="none" w:sz="0" w:space="0" w:color="auto"/>
                            <w:bottom w:val="none" w:sz="0" w:space="0" w:color="auto"/>
                            <w:right w:val="none" w:sz="0" w:space="0" w:color="auto"/>
                          </w:divBdr>
                          <w:divsChild>
                            <w:div w:id="249697253">
                              <w:marLeft w:val="0"/>
                              <w:marRight w:val="0"/>
                              <w:marTop w:val="0"/>
                              <w:marBottom w:val="0"/>
                              <w:divBdr>
                                <w:top w:val="none" w:sz="0" w:space="0" w:color="auto"/>
                                <w:left w:val="none" w:sz="0" w:space="0" w:color="auto"/>
                                <w:bottom w:val="none" w:sz="0" w:space="0" w:color="auto"/>
                                <w:right w:val="none" w:sz="0" w:space="0" w:color="auto"/>
                              </w:divBdr>
                              <w:divsChild>
                                <w:div w:id="130057396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678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0193">
      <w:bodyDiv w:val="1"/>
      <w:marLeft w:val="0"/>
      <w:marRight w:val="0"/>
      <w:marTop w:val="0"/>
      <w:marBottom w:val="0"/>
      <w:divBdr>
        <w:top w:val="none" w:sz="0" w:space="0" w:color="auto"/>
        <w:left w:val="none" w:sz="0" w:space="0" w:color="auto"/>
        <w:bottom w:val="none" w:sz="0" w:space="0" w:color="auto"/>
        <w:right w:val="none" w:sz="0" w:space="0" w:color="auto"/>
      </w:divBdr>
    </w:div>
    <w:div w:id="1149706957">
      <w:bodyDiv w:val="1"/>
      <w:marLeft w:val="0"/>
      <w:marRight w:val="0"/>
      <w:marTop w:val="0"/>
      <w:marBottom w:val="0"/>
      <w:divBdr>
        <w:top w:val="none" w:sz="0" w:space="0" w:color="auto"/>
        <w:left w:val="none" w:sz="0" w:space="0" w:color="auto"/>
        <w:bottom w:val="none" w:sz="0" w:space="0" w:color="auto"/>
        <w:right w:val="none" w:sz="0" w:space="0" w:color="auto"/>
      </w:divBdr>
    </w:div>
    <w:div w:id="1193572724">
      <w:bodyDiv w:val="1"/>
      <w:marLeft w:val="0"/>
      <w:marRight w:val="0"/>
      <w:marTop w:val="0"/>
      <w:marBottom w:val="0"/>
      <w:divBdr>
        <w:top w:val="none" w:sz="0" w:space="0" w:color="auto"/>
        <w:left w:val="none" w:sz="0" w:space="0" w:color="auto"/>
        <w:bottom w:val="none" w:sz="0" w:space="0" w:color="auto"/>
        <w:right w:val="none" w:sz="0" w:space="0" w:color="auto"/>
      </w:divBdr>
    </w:div>
    <w:div w:id="1227376051">
      <w:bodyDiv w:val="1"/>
      <w:marLeft w:val="0"/>
      <w:marRight w:val="0"/>
      <w:marTop w:val="0"/>
      <w:marBottom w:val="0"/>
      <w:divBdr>
        <w:top w:val="none" w:sz="0" w:space="0" w:color="auto"/>
        <w:left w:val="none" w:sz="0" w:space="0" w:color="auto"/>
        <w:bottom w:val="none" w:sz="0" w:space="0" w:color="auto"/>
        <w:right w:val="none" w:sz="0" w:space="0" w:color="auto"/>
      </w:divBdr>
    </w:div>
    <w:div w:id="1373310697">
      <w:bodyDiv w:val="1"/>
      <w:marLeft w:val="0"/>
      <w:marRight w:val="0"/>
      <w:marTop w:val="0"/>
      <w:marBottom w:val="0"/>
      <w:divBdr>
        <w:top w:val="none" w:sz="0" w:space="0" w:color="auto"/>
        <w:left w:val="none" w:sz="0" w:space="0" w:color="auto"/>
        <w:bottom w:val="none" w:sz="0" w:space="0" w:color="auto"/>
        <w:right w:val="none" w:sz="0" w:space="0" w:color="auto"/>
      </w:divBdr>
      <w:divsChild>
        <w:div w:id="468674958">
          <w:marLeft w:val="0"/>
          <w:marRight w:val="0"/>
          <w:marTop w:val="0"/>
          <w:marBottom w:val="0"/>
          <w:divBdr>
            <w:top w:val="none" w:sz="0" w:space="0" w:color="auto"/>
            <w:left w:val="none" w:sz="0" w:space="0" w:color="auto"/>
            <w:bottom w:val="none" w:sz="0" w:space="0" w:color="auto"/>
            <w:right w:val="none" w:sz="0" w:space="0" w:color="auto"/>
          </w:divBdr>
          <w:divsChild>
            <w:div w:id="1494031219">
              <w:marLeft w:val="0"/>
              <w:marRight w:val="0"/>
              <w:marTop w:val="0"/>
              <w:marBottom w:val="0"/>
              <w:divBdr>
                <w:top w:val="none" w:sz="0" w:space="0" w:color="auto"/>
                <w:left w:val="none" w:sz="0" w:space="0" w:color="auto"/>
                <w:bottom w:val="none" w:sz="0" w:space="0" w:color="auto"/>
                <w:right w:val="none" w:sz="0" w:space="0" w:color="auto"/>
              </w:divBdr>
              <w:divsChild>
                <w:div w:id="1472600352">
                  <w:marLeft w:val="0"/>
                  <w:marRight w:val="0"/>
                  <w:marTop w:val="0"/>
                  <w:marBottom w:val="0"/>
                  <w:divBdr>
                    <w:top w:val="none" w:sz="0" w:space="0" w:color="auto"/>
                    <w:left w:val="none" w:sz="0" w:space="0" w:color="auto"/>
                    <w:bottom w:val="none" w:sz="0" w:space="0" w:color="auto"/>
                    <w:right w:val="none" w:sz="0" w:space="0" w:color="auto"/>
                  </w:divBdr>
                  <w:divsChild>
                    <w:div w:id="523979093">
                      <w:marLeft w:val="60"/>
                      <w:marRight w:val="0"/>
                      <w:marTop w:val="0"/>
                      <w:marBottom w:val="0"/>
                      <w:divBdr>
                        <w:top w:val="none" w:sz="0" w:space="0" w:color="auto"/>
                        <w:left w:val="none" w:sz="0" w:space="0" w:color="auto"/>
                        <w:bottom w:val="none" w:sz="0" w:space="0" w:color="auto"/>
                        <w:right w:val="none" w:sz="0" w:space="0" w:color="auto"/>
                      </w:divBdr>
                      <w:divsChild>
                        <w:div w:id="1607805118">
                          <w:marLeft w:val="0"/>
                          <w:marRight w:val="0"/>
                          <w:marTop w:val="0"/>
                          <w:marBottom w:val="0"/>
                          <w:divBdr>
                            <w:top w:val="none" w:sz="0" w:space="0" w:color="auto"/>
                            <w:left w:val="none" w:sz="0" w:space="0" w:color="auto"/>
                            <w:bottom w:val="none" w:sz="0" w:space="0" w:color="auto"/>
                            <w:right w:val="none" w:sz="0" w:space="0" w:color="auto"/>
                          </w:divBdr>
                          <w:divsChild>
                            <w:div w:id="190776247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39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09013">
      <w:bodyDiv w:val="1"/>
      <w:marLeft w:val="0"/>
      <w:marRight w:val="0"/>
      <w:marTop w:val="0"/>
      <w:marBottom w:val="0"/>
      <w:divBdr>
        <w:top w:val="none" w:sz="0" w:space="0" w:color="auto"/>
        <w:left w:val="none" w:sz="0" w:space="0" w:color="auto"/>
        <w:bottom w:val="none" w:sz="0" w:space="0" w:color="auto"/>
        <w:right w:val="none" w:sz="0" w:space="0" w:color="auto"/>
      </w:divBdr>
      <w:divsChild>
        <w:div w:id="1774282253">
          <w:marLeft w:val="0"/>
          <w:marRight w:val="0"/>
          <w:marTop w:val="0"/>
          <w:marBottom w:val="0"/>
          <w:divBdr>
            <w:top w:val="none" w:sz="0" w:space="0" w:color="auto"/>
            <w:left w:val="none" w:sz="0" w:space="0" w:color="auto"/>
            <w:bottom w:val="none" w:sz="0" w:space="0" w:color="auto"/>
            <w:right w:val="none" w:sz="0" w:space="0" w:color="auto"/>
          </w:divBdr>
          <w:divsChild>
            <w:div w:id="568812293">
              <w:marLeft w:val="0"/>
              <w:marRight w:val="0"/>
              <w:marTop w:val="0"/>
              <w:marBottom w:val="0"/>
              <w:divBdr>
                <w:top w:val="none" w:sz="0" w:space="0" w:color="auto"/>
                <w:left w:val="none" w:sz="0" w:space="0" w:color="auto"/>
                <w:bottom w:val="none" w:sz="0" w:space="0" w:color="auto"/>
                <w:right w:val="none" w:sz="0" w:space="0" w:color="auto"/>
              </w:divBdr>
              <w:divsChild>
                <w:div w:id="1945380234">
                  <w:marLeft w:val="0"/>
                  <w:marRight w:val="0"/>
                  <w:marTop w:val="0"/>
                  <w:marBottom w:val="0"/>
                  <w:divBdr>
                    <w:top w:val="none" w:sz="0" w:space="0" w:color="auto"/>
                    <w:left w:val="none" w:sz="0" w:space="0" w:color="auto"/>
                    <w:bottom w:val="none" w:sz="0" w:space="0" w:color="auto"/>
                    <w:right w:val="none" w:sz="0" w:space="0" w:color="auto"/>
                  </w:divBdr>
                  <w:divsChild>
                    <w:div w:id="281228402">
                      <w:marLeft w:val="0"/>
                      <w:marRight w:val="0"/>
                      <w:marTop w:val="0"/>
                      <w:marBottom w:val="0"/>
                      <w:divBdr>
                        <w:top w:val="none" w:sz="0" w:space="0" w:color="auto"/>
                        <w:left w:val="none" w:sz="0" w:space="0" w:color="auto"/>
                        <w:bottom w:val="none" w:sz="0" w:space="0" w:color="auto"/>
                        <w:right w:val="none" w:sz="0" w:space="0" w:color="auto"/>
                      </w:divBdr>
                      <w:divsChild>
                        <w:div w:id="1294826952">
                          <w:marLeft w:val="60"/>
                          <w:marRight w:val="0"/>
                          <w:marTop w:val="0"/>
                          <w:marBottom w:val="0"/>
                          <w:divBdr>
                            <w:top w:val="none" w:sz="0" w:space="0" w:color="auto"/>
                            <w:left w:val="none" w:sz="0" w:space="0" w:color="auto"/>
                            <w:bottom w:val="none" w:sz="0" w:space="0" w:color="auto"/>
                            <w:right w:val="none" w:sz="0" w:space="0" w:color="auto"/>
                          </w:divBdr>
                          <w:divsChild>
                            <w:div w:id="499975701">
                              <w:marLeft w:val="0"/>
                              <w:marRight w:val="0"/>
                              <w:marTop w:val="0"/>
                              <w:marBottom w:val="0"/>
                              <w:divBdr>
                                <w:top w:val="none" w:sz="0" w:space="0" w:color="auto"/>
                                <w:left w:val="none" w:sz="0" w:space="0" w:color="auto"/>
                                <w:bottom w:val="none" w:sz="0" w:space="0" w:color="auto"/>
                                <w:right w:val="none" w:sz="0" w:space="0" w:color="auto"/>
                              </w:divBdr>
                              <w:divsChild>
                                <w:div w:id="27768429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73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2613">
      <w:bodyDiv w:val="1"/>
      <w:marLeft w:val="0"/>
      <w:marRight w:val="0"/>
      <w:marTop w:val="0"/>
      <w:marBottom w:val="0"/>
      <w:divBdr>
        <w:top w:val="none" w:sz="0" w:space="0" w:color="auto"/>
        <w:left w:val="none" w:sz="0" w:space="0" w:color="auto"/>
        <w:bottom w:val="none" w:sz="0" w:space="0" w:color="auto"/>
        <w:right w:val="none" w:sz="0" w:space="0" w:color="auto"/>
      </w:divBdr>
      <w:divsChild>
        <w:div w:id="123887913">
          <w:marLeft w:val="0"/>
          <w:marRight w:val="0"/>
          <w:marTop w:val="0"/>
          <w:marBottom w:val="0"/>
          <w:divBdr>
            <w:top w:val="none" w:sz="0" w:space="0" w:color="auto"/>
            <w:left w:val="none" w:sz="0" w:space="0" w:color="auto"/>
            <w:bottom w:val="none" w:sz="0" w:space="0" w:color="auto"/>
            <w:right w:val="none" w:sz="0" w:space="0" w:color="auto"/>
          </w:divBdr>
          <w:divsChild>
            <w:div w:id="1474179863">
              <w:marLeft w:val="0"/>
              <w:marRight w:val="0"/>
              <w:marTop w:val="0"/>
              <w:marBottom w:val="0"/>
              <w:divBdr>
                <w:top w:val="none" w:sz="0" w:space="0" w:color="auto"/>
                <w:left w:val="none" w:sz="0" w:space="0" w:color="auto"/>
                <w:bottom w:val="none" w:sz="0" w:space="0" w:color="auto"/>
                <w:right w:val="none" w:sz="0" w:space="0" w:color="auto"/>
              </w:divBdr>
            </w:div>
            <w:div w:id="382099049">
              <w:marLeft w:val="0"/>
              <w:marRight w:val="0"/>
              <w:marTop w:val="0"/>
              <w:marBottom w:val="0"/>
              <w:divBdr>
                <w:top w:val="none" w:sz="0" w:space="0" w:color="auto"/>
                <w:left w:val="none" w:sz="0" w:space="0" w:color="auto"/>
                <w:bottom w:val="none" w:sz="0" w:space="0" w:color="auto"/>
                <w:right w:val="none" w:sz="0" w:space="0" w:color="auto"/>
              </w:divBdr>
            </w:div>
          </w:divsChild>
        </w:div>
        <w:div w:id="705181733">
          <w:marLeft w:val="0"/>
          <w:marRight w:val="0"/>
          <w:marTop w:val="0"/>
          <w:marBottom w:val="0"/>
          <w:divBdr>
            <w:top w:val="none" w:sz="0" w:space="0" w:color="auto"/>
            <w:left w:val="none" w:sz="0" w:space="0" w:color="auto"/>
            <w:bottom w:val="none" w:sz="0" w:space="0" w:color="auto"/>
            <w:right w:val="none" w:sz="0" w:space="0" w:color="auto"/>
          </w:divBdr>
          <w:divsChild>
            <w:div w:id="77023071">
              <w:marLeft w:val="0"/>
              <w:marRight w:val="0"/>
              <w:marTop w:val="0"/>
              <w:marBottom w:val="0"/>
              <w:divBdr>
                <w:top w:val="none" w:sz="0" w:space="0" w:color="auto"/>
                <w:left w:val="none" w:sz="0" w:space="0" w:color="auto"/>
                <w:bottom w:val="none" w:sz="0" w:space="0" w:color="auto"/>
                <w:right w:val="none" w:sz="0" w:space="0" w:color="auto"/>
              </w:divBdr>
            </w:div>
            <w:div w:id="601954347">
              <w:marLeft w:val="0"/>
              <w:marRight w:val="0"/>
              <w:marTop w:val="0"/>
              <w:marBottom w:val="0"/>
              <w:divBdr>
                <w:top w:val="none" w:sz="0" w:space="0" w:color="auto"/>
                <w:left w:val="none" w:sz="0" w:space="0" w:color="auto"/>
                <w:bottom w:val="none" w:sz="0" w:space="0" w:color="auto"/>
                <w:right w:val="none" w:sz="0" w:space="0" w:color="auto"/>
              </w:divBdr>
            </w:div>
          </w:divsChild>
        </w:div>
        <w:div w:id="1353456044">
          <w:marLeft w:val="0"/>
          <w:marRight w:val="0"/>
          <w:marTop w:val="0"/>
          <w:marBottom w:val="0"/>
          <w:divBdr>
            <w:top w:val="none" w:sz="0" w:space="0" w:color="auto"/>
            <w:left w:val="none" w:sz="0" w:space="0" w:color="auto"/>
            <w:bottom w:val="none" w:sz="0" w:space="0" w:color="auto"/>
            <w:right w:val="none" w:sz="0" w:space="0" w:color="auto"/>
          </w:divBdr>
          <w:divsChild>
            <w:div w:id="2021003441">
              <w:marLeft w:val="0"/>
              <w:marRight w:val="0"/>
              <w:marTop w:val="0"/>
              <w:marBottom w:val="0"/>
              <w:divBdr>
                <w:top w:val="none" w:sz="0" w:space="0" w:color="auto"/>
                <w:left w:val="none" w:sz="0" w:space="0" w:color="auto"/>
                <w:bottom w:val="none" w:sz="0" w:space="0" w:color="auto"/>
                <w:right w:val="none" w:sz="0" w:space="0" w:color="auto"/>
              </w:divBdr>
            </w:div>
            <w:div w:id="1866408614">
              <w:marLeft w:val="0"/>
              <w:marRight w:val="0"/>
              <w:marTop w:val="0"/>
              <w:marBottom w:val="0"/>
              <w:divBdr>
                <w:top w:val="none" w:sz="0" w:space="0" w:color="auto"/>
                <w:left w:val="none" w:sz="0" w:space="0" w:color="auto"/>
                <w:bottom w:val="none" w:sz="0" w:space="0" w:color="auto"/>
                <w:right w:val="none" w:sz="0" w:space="0" w:color="auto"/>
              </w:divBdr>
            </w:div>
          </w:divsChild>
        </w:div>
        <w:div w:id="1211654652">
          <w:marLeft w:val="0"/>
          <w:marRight w:val="0"/>
          <w:marTop w:val="0"/>
          <w:marBottom w:val="0"/>
          <w:divBdr>
            <w:top w:val="none" w:sz="0" w:space="0" w:color="auto"/>
            <w:left w:val="none" w:sz="0" w:space="0" w:color="auto"/>
            <w:bottom w:val="none" w:sz="0" w:space="0" w:color="auto"/>
            <w:right w:val="none" w:sz="0" w:space="0" w:color="auto"/>
          </w:divBdr>
          <w:divsChild>
            <w:div w:id="1844127198">
              <w:marLeft w:val="0"/>
              <w:marRight w:val="0"/>
              <w:marTop w:val="0"/>
              <w:marBottom w:val="0"/>
              <w:divBdr>
                <w:top w:val="none" w:sz="0" w:space="0" w:color="auto"/>
                <w:left w:val="none" w:sz="0" w:space="0" w:color="auto"/>
                <w:bottom w:val="none" w:sz="0" w:space="0" w:color="auto"/>
                <w:right w:val="none" w:sz="0" w:space="0" w:color="auto"/>
              </w:divBdr>
            </w:div>
          </w:divsChild>
        </w:div>
        <w:div w:id="461584336">
          <w:marLeft w:val="0"/>
          <w:marRight w:val="0"/>
          <w:marTop w:val="0"/>
          <w:marBottom w:val="0"/>
          <w:divBdr>
            <w:top w:val="none" w:sz="0" w:space="0" w:color="auto"/>
            <w:left w:val="none" w:sz="0" w:space="0" w:color="auto"/>
            <w:bottom w:val="none" w:sz="0" w:space="0" w:color="auto"/>
            <w:right w:val="none" w:sz="0" w:space="0" w:color="auto"/>
          </w:divBdr>
          <w:divsChild>
            <w:div w:id="535508386">
              <w:marLeft w:val="0"/>
              <w:marRight w:val="0"/>
              <w:marTop w:val="0"/>
              <w:marBottom w:val="0"/>
              <w:divBdr>
                <w:top w:val="none" w:sz="0" w:space="0" w:color="auto"/>
                <w:left w:val="none" w:sz="0" w:space="0" w:color="auto"/>
                <w:bottom w:val="none" w:sz="0" w:space="0" w:color="auto"/>
                <w:right w:val="none" w:sz="0" w:space="0" w:color="auto"/>
              </w:divBdr>
            </w:div>
            <w:div w:id="561673048">
              <w:marLeft w:val="0"/>
              <w:marRight w:val="0"/>
              <w:marTop w:val="0"/>
              <w:marBottom w:val="0"/>
              <w:divBdr>
                <w:top w:val="none" w:sz="0" w:space="0" w:color="auto"/>
                <w:left w:val="none" w:sz="0" w:space="0" w:color="auto"/>
                <w:bottom w:val="none" w:sz="0" w:space="0" w:color="auto"/>
                <w:right w:val="none" w:sz="0" w:space="0" w:color="auto"/>
              </w:divBdr>
            </w:div>
          </w:divsChild>
        </w:div>
        <w:div w:id="749698951">
          <w:marLeft w:val="0"/>
          <w:marRight w:val="0"/>
          <w:marTop w:val="0"/>
          <w:marBottom w:val="0"/>
          <w:divBdr>
            <w:top w:val="none" w:sz="0" w:space="0" w:color="auto"/>
            <w:left w:val="none" w:sz="0" w:space="0" w:color="auto"/>
            <w:bottom w:val="none" w:sz="0" w:space="0" w:color="auto"/>
            <w:right w:val="none" w:sz="0" w:space="0" w:color="auto"/>
          </w:divBdr>
          <w:divsChild>
            <w:div w:id="912356521">
              <w:marLeft w:val="0"/>
              <w:marRight w:val="0"/>
              <w:marTop w:val="0"/>
              <w:marBottom w:val="0"/>
              <w:divBdr>
                <w:top w:val="none" w:sz="0" w:space="0" w:color="auto"/>
                <w:left w:val="none" w:sz="0" w:space="0" w:color="auto"/>
                <w:bottom w:val="none" w:sz="0" w:space="0" w:color="auto"/>
                <w:right w:val="none" w:sz="0" w:space="0" w:color="auto"/>
              </w:divBdr>
            </w:div>
          </w:divsChild>
        </w:div>
        <w:div w:id="1140535997">
          <w:marLeft w:val="0"/>
          <w:marRight w:val="0"/>
          <w:marTop w:val="0"/>
          <w:marBottom w:val="0"/>
          <w:divBdr>
            <w:top w:val="none" w:sz="0" w:space="0" w:color="auto"/>
            <w:left w:val="none" w:sz="0" w:space="0" w:color="auto"/>
            <w:bottom w:val="none" w:sz="0" w:space="0" w:color="auto"/>
            <w:right w:val="none" w:sz="0" w:space="0" w:color="auto"/>
          </w:divBdr>
          <w:divsChild>
            <w:div w:id="2107339635">
              <w:marLeft w:val="0"/>
              <w:marRight w:val="0"/>
              <w:marTop w:val="0"/>
              <w:marBottom w:val="0"/>
              <w:divBdr>
                <w:top w:val="none" w:sz="0" w:space="0" w:color="auto"/>
                <w:left w:val="none" w:sz="0" w:space="0" w:color="auto"/>
                <w:bottom w:val="none" w:sz="0" w:space="0" w:color="auto"/>
                <w:right w:val="none" w:sz="0" w:space="0" w:color="auto"/>
              </w:divBdr>
            </w:div>
            <w:div w:id="709763703">
              <w:marLeft w:val="0"/>
              <w:marRight w:val="0"/>
              <w:marTop w:val="0"/>
              <w:marBottom w:val="0"/>
              <w:divBdr>
                <w:top w:val="none" w:sz="0" w:space="0" w:color="auto"/>
                <w:left w:val="none" w:sz="0" w:space="0" w:color="auto"/>
                <w:bottom w:val="none" w:sz="0" w:space="0" w:color="auto"/>
                <w:right w:val="none" w:sz="0" w:space="0" w:color="auto"/>
              </w:divBdr>
            </w:div>
          </w:divsChild>
        </w:div>
        <w:div w:id="1105461679">
          <w:marLeft w:val="0"/>
          <w:marRight w:val="0"/>
          <w:marTop w:val="0"/>
          <w:marBottom w:val="0"/>
          <w:divBdr>
            <w:top w:val="none" w:sz="0" w:space="0" w:color="auto"/>
            <w:left w:val="none" w:sz="0" w:space="0" w:color="auto"/>
            <w:bottom w:val="none" w:sz="0" w:space="0" w:color="auto"/>
            <w:right w:val="none" w:sz="0" w:space="0" w:color="auto"/>
          </w:divBdr>
          <w:divsChild>
            <w:div w:id="507795450">
              <w:marLeft w:val="0"/>
              <w:marRight w:val="0"/>
              <w:marTop w:val="0"/>
              <w:marBottom w:val="0"/>
              <w:divBdr>
                <w:top w:val="none" w:sz="0" w:space="0" w:color="auto"/>
                <w:left w:val="none" w:sz="0" w:space="0" w:color="auto"/>
                <w:bottom w:val="none" w:sz="0" w:space="0" w:color="auto"/>
                <w:right w:val="none" w:sz="0" w:space="0" w:color="auto"/>
              </w:divBdr>
            </w:div>
          </w:divsChild>
        </w:div>
        <w:div w:id="1375041241">
          <w:marLeft w:val="0"/>
          <w:marRight w:val="0"/>
          <w:marTop w:val="0"/>
          <w:marBottom w:val="0"/>
          <w:divBdr>
            <w:top w:val="none" w:sz="0" w:space="0" w:color="auto"/>
            <w:left w:val="none" w:sz="0" w:space="0" w:color="auto"/>
            <w:bottom w:val="none" w:sz="0" w:space="0" w:color="auto"/>
            <w:right w:val="none" w:sz="0" w:space="0" w:color="auto"/>
          </w:divBdr>
          <w:divsChild>
            <w:div w:id="363555928">
              <w:marLeft w:val="0"/>
              <w:marRight w:val="0"/>
              <w:marTop w:val="0"/>
              <w:marBottom w:val="0"/>
              <w:divBdr>
                <w:top w:val="none" w:sz="0" w:space="0" w:color="auto"/>
                <w:left w:val="none" w:sz="0" w:space="0" w:color="auto"/>
                <w:bottom w:val="none" w:sz="0" w:space="0" w:color="auto"/>
                <w:right w:val="none" w:sz="0" w:space="0" w:color="auto"/>
              </w:divBdr>
            </w:div>
            <w:div w:id="252125979">
              <w:marLeft w:val="0"/>
              <w:marRight w:val="0"/>
              <w:marTop w:val="0"/>
              <w:marBottom w:val="0"/>
              <w:divBdr>
                <w:top w:val="none" w:sz="0" w:space="0" w:color="auto"/>
                <w:left w:val="none" w:sz="0" w:space="0" w:color="auto"/>
                <w:bottom w:val="none" w:sz="0" w:space="0" w:color="auto"/>
                <w:right w:val="none" w:sz="0" w:space="0" w:color="auto"/>
              </w:divBdr>
            </w:div>
          </w:divsChild>
        </w:div>
        <w:div w:id="1881742216">
          <w:marLeft w:val="0"/>
          <w:marRight w:val="0"/>
          <w:marTop w:val="0"/>
          <w:marBottom w:val="0"/>
          <w:divBdr>
            <w:top w:val="none" w:sz="0" w:space="0" w:color="auto"/>
            <w:left w:val="none" w:sz="0" w:space="0" w:color="auto"/>
            <w:bottom w:val="none" w:sz="0" w:space="0" w:color="auto"/>
            <w:right w:val="none" w:sz="0" w:space="0" w:color="auto"/>
          </w:divBdr>
          <w:divsChild>
            <w:div w:id="19472332">
              <w:marLeft w:val="0"/>
              <w:marRight w:val="0"/>
              <w:marTop w:val="0"/>
              <w:marBottom w:val="0"/>
              <w:divBdr>
                <w:top w:val="none" w:sz="0" w:space="0" w:color="auto"/>
                <w:left w:val="none" w:sz="0" w:space="0" w:color="auto"/>
                <w:bottom w:val="none" w:sz="0" w:space="0" w:color="auto"/>
                <w:right w:val="none" w:sz="0" w:space="0" w:color="auto"/>
              </w:divBdr>
            </w:div>
          </w:divsChild>
        </w:div>
        <w:div w:id="1705981549">
          <w:marLeft w:val="0"/>
          <w:marRight w:val="0"/>
          <w:marTop w:val="0"/>
          <w:marBottom w:val="0"/>
          <w:divBdr>
            <w:top w:val="none" w:sz="0" w:space="0" w:color="auto"/>
            <w:left w:val="none" w:sz="0" w:space="0" w:color="auto"/>
            <w:bottom w:val="none" w:sz="0" w:space="0" w:color="auto"/>
            <w:right w:val="none" w:sz="0" w:space="0" w:color="auto"/>
          </w:divBdr>
          <w:divsChild>
            <w:div w:id="1151287951">
              <w:marLeft w:val="0"/>
              <w:marRight w:val="0"/>
              <w:marTop w:val="0"/>
              <w:marBottom w:val="0"/>
              <w:divBdr>
                <w:top w:val="none" w:sz="0" w:space="0" w:color="auto"/>
                <w:left w:val="none" w:sz="0" w:space="0" w:color="auto"/>
                <w:bottom w:val="none" w:sz="0" w:space="0" w:color="auto"/>
                <w:right w:val="none" w:sz="0" w:space="0" w:color="auto"/>
              </w:divBdr>
            </w:div>
            <w:div w:id="2976434">
              <w:marLeft w:val="0"/>
              <w:marRight w:val="0"/>
              <w:marTop w:val="0"/>
              <w:marBottom w:val="0"/>
              <w:divBdr>
                <w:top w:val="none" w:sz="0" w:space="0" w:color="auto"/>
                <w:left w:val="none" w:sz="0" w:space="0" w:color="auto"/>
                <w:bottom w:val="none" w:sz="0" w:space="0" w:color="auto"/>
                <w:right w:val="none" w:sz="0" w:space="0" w:color="auto"/>
              </w:divBdr>
            </w:div>
          </w:divsChild>
        </w:div>
        <w:div w:id="1822498187">
          <w:marLeft w:val="0"/>
          <w:marRight w:val="0"/>
          <w:marTop w:val="0"/>
          <w:marBottom w:val="0"/>
          <w:divBdr>
            <w:top w:val="none" w:sz="0" w:space="0" w:color="auto"/>
            <w:left w:val="none" w:sz="0" w:space="0" w:color="auto"/>
            <w:bottom w:val="none" w:sz="0" w:space="0" w:color="auto"/>
            <w:right w:val="none" w:sz="0" w:space="0" w:color="auto"/>
          </w:divBdr>
          <w:divsChild>
            <w:div w:id="308174864">
              <w:marLeft w:val="0"/>
              <w:marRight w:val="0"/>
              <w:marTop w:val="0"/>
              <w:marBottom w:val="0"/>
              <w:divBdr>
                <w:top w:val="none" w:sz="0" w:space="0" w:color="auto"/>
                <w:left w:val="none" w:sz="0" w:space="0" w:color="auto"/>
                <w:bottom w:val="none" w:sz="0" w:space="0" w:color="auto"/>
                <w:right w:val="none" w:sz="0" w:space="0" w:color="auto"/>
              </w:divBdr>
            </w:div>
          </w:divsChild>
        </w:div>
        <w:div w:id="1854881368">
          <w:marLeft w:val="0"/>
          <w:marRight w:val="0"/>
          <w:marTop w:val="0"/>
          <w:marBottom w:val="0"/>
          <w:divBdr>
            <w:top w:val="none" w:sz="0" w:space="0" w:color="auto"/>
            <w:left w:val="none" w:sz="0" w:space="0" w:color="auto"/>
            <w:bottom w:val="none" w:sz="0" w:space="0" w:color="auto"/>
            <w:right w:val="none" w:sz="0" w:space="0" w:color="auto"/>
          </w:divBdr>
          <w:divsChild>
            <w:div w:id="1671789256">
              <w:marLeft w:val="0"/>
              <w:marRight w:val="0"/>
              <w:marTop w:val="0"/>
              <w:marBottom w:val="0"/>
              <w:divBdr>
                <w:top w:val="none" w:sz="0" w:space="0" w:color="auto"/>
                <w:left w:val="none" w:sz="0" w:space="0" w:color="auto"/>
                <w:bottom w:val="none" w:sz="0" w:space="0" w:color="auto"/>
                <w:right w:val="none" w:sz="0" w:space="0" w:color="auto"/>
              </w:divBdr>
            </w:div>
            <w:div w:id="1904951050">
              <w:marLeft w:val="0"/>
              <w:marRight w:val="0"/>
              <w:marTop w:val="0"/>
              <w:marBottom w:val="0"/>
              <w:divBdr>
                <w:top w:val="none" w:sz="0" w:space="0" w:color="auto"/>
                <w:left w:val="none" w:sz="0" w:space="0" w:color="auto"/>
                <w:bottom w:val="none" w:sz="0" w:space="0" w:color="auto"/>
                <w:right w:val="none" w:sz="0" w:space="0" w:color="auto"/>
              </w:divBdr>
            </w:div>
          </w:divsChild>
        </w:div>
        <w:div w:id="105776765">
          <w:marLeft w:val="0"/>
          <w:marRight w:val="0"/>
          <w:marTop w:val="0"/>
          <w:marBottom w:val="0"/>
          <w:divBdr>
            <w:top w:val="none" w:sz="0" w:space="0" w:color="auto"/>
            <w:left w:val="none" w:sz="0" w:space="0" w:color="auto"/>
            <w:bottom w:val="none" w:sz="0" w:space="0" w:color="auto"/>
            <w:right w:val="none" w:sz="0" w:space="0" w:color="auto"/>
          </w:divBdr>
          <w:divsChild>
            <w:div w:id="1080520870">
              <w:marLeft w:val="0"/>
              <w:marRight w:val="0"/>
              <w:marTop w:val="0"/>
              <w:marBottom w:val="0"/>
              <w:divBdr>
                <w:top w:val="none" w:sz="0" w:space="0" w:color="auto"/>
                <w:left w:val="none" w:sz="0" w:space="0" w:color="auto"/>
                <w:bottom w:val="none" w:sz="0" w:space="0" w:color="auto"/>
                <w:right w:val="none" w:sz="0" w:space="0" w:color="auto"/>
              </w:divBdr>
            </w:div>
            <w:div w:id="1228766804">
              <w:marLeft w:val="0"/>
              <w:marRight w:val="0"/>
              <w:marTop w:val="0"/>
              <w:marBottom w:val="0"/>
              <w:divBdr>
                <w:top w:val="none" w:sz="0" w:space="0" w:color="auto"/>
                <w:left w:val="none" w:sz="0" w:space="0" w:color="auto"/>
                <w:bottom w:val="none" w:sz="0" w:space="0" w:color="auto"/>
                <w:right w:val="none" w:sz="0" w:space="0" w:color="auto"/>
              </w:divBdr>
            </w:div>
          </w:divsChild>
        </w:div>
        <w:div w:id="1582642210">
          <w:marLeft w:val="0"/>
          <w:marRight w:val="0"/>
          <w:marTop w:val="0"/>
          <w:marBottom w:val="0"/>
          <w:divBdr>
            <w:top w:val="none" w:sz="0" w:space="0" w:color="auto"/>
            <w:left w:val="none" w:sz="0" w:space="0" w:color="auto"/>
            <w:bottom w:val="none" w:sz="0" w:space="0" w:color="auto"/>
            <w:right w:val="none" w:sz="0" w:space="0" w:color="auto"/>
          </w:divBdr>
          <w:divsChild>
            <w:div w:id="1719088851">
              <w:marLeft w:val="0"/>
              <w:marRight w:val="0"/>
              <w:marTop w:val="0"/>
              <w:marBottom w:val="0"/>
              <w:divBdr>
                <w:top w:val="none" w:sz="0" w:space="0" w:color="auto"/>
                <w:left w:val="none" w:sz="0" w:space="0" w:color="auto"/>
                <w:bottom w:val="none" w:sz="0" w:space="0" w:color="auto"/>
                <w:right w:val="none" w:sz="0" w:space="0" w:color="auto"/>
              </w:divBdr>
            </w:div>
            <w:div w:id="1543439036">
              <w:marLeft w:val="0"/>
              <w:marRight w:val="0"/>
              <w:marTop w:val="0"/>
              <w:marBottom w:val="0"/>
              <w:divBdr>
                <w:top w:val="none" w:sz="0" w:space="0" w:color="auto"/>
                <w:left w:val="none" w:sz="0" w:space="0" w:color="auto"/>
                <w:bottom w:val="none" w:sz="0" w:space="0" w:color="auto"/>
                <w:right w:val="none" w:sz="0" w:space="0" w:color="auto"/>
              </w:divBdr>
            </w:div>
          </w:divsChild>
        </w:div>
        <w:div w:id="767166377">
          <w:marLeft w:val="0"/>
          <w:marRight w:val="0"/>
          <w:marTop w:val="0"/>
          <w:marBottom w:val="0"/>
          <w:divBdr>
            <w:top w:val="none" w:sz="0" w:space="0" w:color="auto"/>
            <w:left w:val="none" w:sz="0" w:space="0" w:color="auto"/>
            <w:bottom w:val="none" w:sz="0" w:space="0" w:color="auto"/>
            <w:right w:val="none" w:sz="0" w:space="0" w:color="auto"/>
          </w:divBdr>
          <w:divsChild>
            <w:div w:id="148904940">
              <w:marLeft w:val="0"/>
              <w:marRight w:val="0"/>
              <w:marTop w:val="0"/>
              <w:marBottom w:val="0"/>
              <w:divBdr>
                <w:top w:val="none" w:sz="0" w:space="0" w:color="auto"/>
                <w:left w:val="none" w:sz="0" w:space="0" w:color="auto"/>
                <w:bottom w:val="none" w:sz="0" w:space="0" w:color="auto"/>
                <w:right w:val="none" w:sz="0" w:space="0" w:color="auto"/>
              </w:divBdr>
            </w:div>
            <w:div w:id="7231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9601">
      <w:bodyDiv w:val="1"/>
      <w:marLeft w:val="0"/>
      <w:marRight w:val="0"/>
      <w:marTop w:val="0"/>
      <w:marBottom w:val="0"/>
      <w:divBdr>
        <w:top w:val="none" w:sz="0" w:space="0" w:color="auto"/>
        <w:left w:val="none" w:sz="0" w:space="0" w:color="auto"/>
        <w:bottom w:val="none" w:sz="0" w:space="0" w:color="auto"/>
        <w:right w:val="none" w:sz="0" w:space="0" w:color="auto"/>
      </w:divBdr>
    </w:div>
    <w:div w:id="1829973591">
      <w:bodyDiv w:val="1"/>
      <w:marLeft w:val="0"/>
      <w:marRight w:val="0"/>
      <w:marTop w:val="0"/>
      <w:marBottom w:val="0"/>
      <w:divBdr>
        <w:top w:val="none" w:sz="0" w:space="0" w:color="auto"/>
        <w:left w:val="none" w:sz="0" w:space="0" w:color="auto"/>
        <w:bottom w:val="none" w:sz="0" w:space="0" w:color="auto"/>
        <w:right w:val="none" w:sz="0" w:space="0" w:color="auto"/>
      </w:divBdr>
    </w:div>
    <w:div w:id="1845239575">
      <w:bodyDiv w:val="1"/>
      <w:marLeft w:val="0"/>
      <w:marRight w:val="0"/>
      <w:marTop w:val="0"/>
      <w:marBottom w:val="0"/>
      <w:divBdr>
        <w:top w:val="none" w:sz="0" w:space="0" w:color="auto"/>
        <w:left w:val="none" w:sz="0" w:space="0" w:color="auto"/>
        <w:bottom w:val="none" w:sz="0" w:space="0" w:color="auto"/>
        <w:right w:val="none" w:sz="0" w:space="0" w:color="auto"/>
      </w:divBdr>
    </w:div>
    <w:div w:id="1958901617">
      <w:bodyDiv w:val="1"/>
      <w:marLeft w:val="0"/>
      <w:marRight w:val="0"/>
      <w:marTop w:val="0"/>
      <w:marBottom w:val="0"/>
      <w:divBdr>
        <w:top w:val="none" w:sz="0" w:space="0" w:color="auto"/>
        <w:left w:val="none" w:sz="0" w:space="0" w:color="auto"/>
        <w:bottom w:val="none" w:sz="0" w:space="0" w:color="auto"/>
        <w:right w:val="none" w:sz="0" w:space="0" w:color="auto"/>
      </w:divBdr>
    </w:div>
    <w:div w:id="2052653177">
      <w:bodyDiv w:val="1"/>
      <w:marLeft w:val="0"/>
      <w:marRight w:val="0"/>
      <w:marTop w:val="0"/>
      <w:marBottom w:val="0"/>
      <w:divBdr>
        <w:top w:val="none" w:sz="0" w:space="0" w:color="auto"/>
        <w:left w:val="none" w:sz="0" w:space="0" w:color="auto"/>
        <w:bottom w:val="none" w:sz="0" w:space="0" w:color="auto"/>
        <w:right w:val="none" w:sz="0" w:space="0" w:color="auto"/>
      </w:divBdr>
      <w:divsChild>
        <w:div w:id="143591507">
          <w:marLeft w:val="135"/>
          <w:marRight w:val="135"/>
          <w:marTop w:val="0"/>
          <w:marBottom w:val="90"/>
          <w:divBdr>
            <w:top w:val="none" w:sz="0" w:space="0" w:color="auto"/>
            <w:left w:val="none" w:sz="0" w:space="0" w:color="auto"/>
            <w:bottom w:val="none" w:sz="0" w:space="0" w:color="auto"/>
            <w:right w:val="none" w:sz="0" w:space="0" w:color="auto"/>
          </w:divBdr>
        </w:div>
        <w:div w:id="1379084402">
          <w:marLeft w:val="135"/>
          <w:marRight w:val="135"/>
          <w:marTop w:val="0"/>
          <w:marBottom w:val="90"/>
          <w:divBdr>
            <w:top w:val="none" w:sz="0" w:space="0" w:color="auto"/>
            <w:left w:val="none" w:sz="0" w:space="0" w:color="auto"/>
            <w:bottom w:val="none" w:sz="0" w:space="0" w:color="auto"/>
            <w:right w:val="none" w:sz="0" w:space="0" w:color="auto"/>
          </w:divBdr>
        </w:div>
        <w:div w:id="888423101">
          <w:marLeft w:val="135"/>
          <w:marRight w:val="135"/>
          <w:marTop w:val="0"/>
          <w:marBottom w:val="90"/>
          <w:divBdr>
            <w:top w:val="none" w:sz="0" w:space="0" w:color="auto"/>
            <w:left w:val="none" w:sz="0" w:space="0" w:color="auto"/>
            <w:bottom w:val="none" w:sz="0" w:space="0" w:color="auto"/>
            <w:right w:val="none" w:sz="0" w:space="0" w:color="auto"/>
          </w:divBdr>
        </w:div>
      </w:divsChild>
    </w:div>
    <w:div w:id="2054376934">
      <w:bodyDiv w:val="1"/>
      <w:marLeft w:val="0"/>
      <w:marRight w:val="0"/>
      <w:marTop w:val="0"/>
      <w:marBottom w:val="0"/>
      <w:divBdr>
        <w:top w:val="none" w:sz="0" w:space="0" w:color="auto"/>
        <w:left w:val="none" w:sz="0" w:space="0" w:color="auto"/>
        <w:bottom w:val="none" w:sz="0" w:space="0" w:color="auto"/>
        <w:right w:val="none" w:sz="0" w:space="0" w:color="auto"/>
      </w:divBdr>
      <w:divsChild>
        <w:div w:id="1245263522">
          <w:marLeft w:val="0"/>
          <w:marRight w:val="0"/>
          <w:marTop w:val="0"/>
          <w:marBottom w:val="0"/>
          <w:divBdr>
            <w:top w:val="none" w:sz="0" w:space="0" w:color="auto"/>
            <w:left w:val="none" w:sz="0" w:space="0" w:color="auto"/>
            <w:bottom w:val="none" w:sz="0" w:space="0" w:color="auto"/>
            <w:right w:val="none" w:sz="0" w:space="0" w:color="auto"/>
          </w:divBdr>
          <w:divsChild>
            <w:div w:id="1236815070">
              <w:marLeft w:val="0"/>
              <w:marRight w:val="0"/>
              <w:marTop w:val="0"/>
              <w:marBottom w:val="0"/>
              <w:divBdr>
                <w:top w:val="none" w:sz="0" w:space="0" w:color="auto"/>
                <w:left w:val="none" w:sz="0" w:space="0" w:color="auto"/>
                <w:bottom w:val="none" w:sz="0" w:space="0" w:color="auto"/>
                <w:right w:val="none" w:sz="0" w:space="0" w:color="auto"/>
              </w:divBdr>
            </w:div>
            <w:div w:id="266157345">
              <w:marLeft w:val="0"/>
              <w:marRight w:val="0"/>
              <w:marTop w:val="0"/>
              <w:marBottom w:val="0"/>
              <w:divBdr>
                <w:top w:val="none" w:sz="0" w:space="0" w:color="auto"/>
                <w:left w:val="none" w:sz="0" w:space="0" w:color="auto"/>
                <w:bottom w:val="none" w:sz="0" w:space="0" w:color="auto"/>
                <w:right w:val="none" w:sz="0" w:space="0" w:color="auto"/>
              </w:divBdr>
            </w:div>
            <w:div w:id="1080056193">
              <w:marLeft w:val="0"/>
              <w:marRight w:val="0"/>
              <w:marTop w:val="0"/>
              <w:marBottom w:val="0"/>
              <w:divBdr>
                <w:top w:val="none" w:sz="0" w:space="0" w:color="auto"/>
                <w:left w:val="none" w:sz="0" w:space="0" w:color="auto"/>
                <w:bottom w:val="none" w:sz="0" w:space="0" w:color="auto"/>
                <w:right w:val="none" w:sz="0" w:space="0" w:color="auto"/>
              </w:divBdr>
            </w:div>
          </w:divsChild>
        </w:div>
        <w:div w:id="1490634814">
          <w:marLeft w:val="0"/>
          <w:marRight w:val="0"/>
          <w:marTop w:val="0"/>
          <w:marBottom w:val="0"/>
          <w:divBdr>
            <w:top w:val="none" w:sz="0" w:space="0" w:color="auto"/>
            <w:left w:val="none" w:sz="0" w:space="0" w:color="auto"/>
            <w:bottom w:val="none" w:sz="0" w:space="0" w:color="auto"/>
            <w:right w:val="none" w:sz="0" w:space="0" w:color="auto"/>
          </w:divBdr>
          <w:divsChild>
            <w:div w:id="240523736">
              <w:marLeft w:val="0"/>
              <w:marRight w:val="0"/>
              <w:marTop w:val="0"/>
              <w:marBottom w:val="0"/>
              <w:divBdr>
                <w:top w:val="none" w:sz="0" w:space="0" w:color="auto"/>
                <w:left w:val="none" w:sz="0" w:space="0" w:color="auto"/>
                <w:bottom w:val="none" w:sz="0" w:space="0" w:color="auto"/>
                <w:right w:val="none" w:sz="0" w:space="0" w:color="auto"/>
              </w:divBdr>
            </w:div>
            <w:div w:id="282466648">
              <w:marLeft w:val="0"/>
              <w:marRight w:val="0"/>
              <w:marTop w:val="0"/>
              <w:marBottom w:val="0"/>
              <w:divBdr>
                <w:top w:val="none" w:sz="0" w:space="0" w:color="auto"/>
                <w:left w:val="none" w:sz="0" w:space="0" w:color="auto"/>
                <w:bottom w:val="none" w:sz="0" w:space="0" w:color="auto"/>
                <w:right w:val="none" w:sz="0" w:space="0" w:color="auto"/>
              </w:divBdr>
            </w:div>
          </w:divsChild>
        </w:div>
        <w:div w:id="1570194213">
          <w:marLeft w:val="0"/>
          <w:marRight w:val="0"/>
          <w:marTop w:val="0"/>
          <w:marBottom w:val="0"/>
          <w:divBdr>
            <w:top w:val="none" w:sz="0" w:space="0" w:color="auto"/>
            <w:left w:val="none" w:sz="0" w:space="0" w:color="auto"/>
            <w:bottom w:val="none" w:sz="0" w:space="0" w:color="auto"/>
            <w:right w:val="none" w:sz="0" w:space="0" w:color="auto"/>
          </w:divBdr>
          <w:divsChild>
            <w:div w:id="301428972">
              <w:marLeft w:val="0"/>
              <w:marRight w:val="0"/>
              <w:marTop w:val="0"/>
              <w:marBottom w:val="0"/>
              <w:divBdr>
                <w:top w:val="none" w:sz="0" w:space="0" w:color="auto"/>
                <w:left w:val="none" w:sz="0" w:space="0" w:color="auto"/>
                <w:bottom w:val="none" w:sz="0" w:space="0" w:color="auto"/>
                <w:right w:val="none" w:sz="0" w:space="0" w:color="auto"/>
              </w:divBdr>
            </w:div>
            <w:div w:id="956527327">
              <w:marLeft w:val="0"/>
              <w:marRight w:val="0"/>
              <w:marTop w:val="0"/>
              <w:marBottom w:val="0"/>
              <w:divBdr>
                <w:top w:val="none" w:sz="0" w:space="0" w:color="auto"/>
                <w:left w:val="none" w:sz="0" w:space="0" w:color="auto"/>
                <w:bottom w:val="none" w:sz="0" w:space="0" w:color="auto"/>
                <w:right w:val="none" w:sz="0" w:space="0" w:color="auto"/>
              </w:divBdr>
            </w:div>
            <w:div w:id="18357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E:\Camilo%20Arturo\IDRD\Actividades\Abr2021\Plan%20de%20sostenibilidad%20contable\C&#225;lculos%20de%20cumplimiento%20de%20actividad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amilo%20Arturo\IDRD\Actividades\Abr2021\NMNC%20Plan%20de%20sostenibilidad%20contable\Gr&#225;fic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da11\AppData\Local\Temp\gRAFIC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da11\AppData\Local\Temp\gRAFICA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dk1"/>
                </a:solidFill>
                <a:latin typeface="Arial" panose="020B0604020202020204" pitchFamily="34" charset="0"/>
                <a:ea typeface="+mn-ea"/>
                <a:cs typeface="Arial" panose="020B0604020202020204" pitchFamily="34" charset="0"/>
              </a:defRPr>
            </a:pPr>
            <a:r>
              <a:rPr lang="es-CO" sz="1000" b="1">
                <a:latin typeface="Arial" panose="020B0604020202020204" pitchFamily="34" charset="0"/>
                <a:cs typeface="Arial" panose="020B0604020202020204" pitchFamily="34" charset="0"/>
              </a:rPr>
              <a:t>Cumplimiento de temas PSC v2 IDRD</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Arial" panose="020B0604020202020204" pitchFamily="34" charset="0"/>
              <a:ea typeface="+mn-ea"/>
              <a:cs typeface="Arial" panose="020B0604020202020204" pitchFamily="34" charset="0"/>
            </a:defRPr>
          </a:pPr>
          <a:endParaRPr lang="es-CO"/>
        </a:p>
      </c:txPr>
    </c:title>
    <c:autoTitleDeleted val="0"/>
    <c:view3D>
      <c:rotX val="40"/>
      <c:rotY val="150"/>
      <c:depthPercent val="12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47704778113E-2"/>
          <c:y val="0.24959178341134233"/>
          <c:w val="0.78381927498679282"/>
          <c:h val="0.62486718041850664"/>
        </c:manualLayout>
      </c:layout>
      <c:pie3DChart>
        <c:varyColors val="1"/>
        <c:ser>
          <c:idx val="0"/>
          <c:order val="0"/>
          <c:dPt>
            <c:idx val="0"/>
            <c:bubble3D val="0"/>
            <c:explosion val="11"/>
            <c:spPr>
              <a:solidFill>
                <a:schemeClr val="accent1"/>
              </a:solidFill>
              <a:ln w="25400">
                <a:noFill/>
              </a:ln>
              <a:effectLst/>
              <a:sp3d/>
            </c:spPr>
            <c:extLst>
              <c:ext xmlns:c16="http://schemas.microsoft.com/office/drawing/2014/chart" uri="{C3380CC4-5D6E-409C-BE32-E72D297353CC}">
                <c16:uniqueId val="{00000001-E88D-4F46-8FB7-E39DFADC8204}"/>
              </c:ext>
            </c:extLst>
          </c:dPt>
          <c:dPt>
            <c:idx val="1"/>
            <c:bubble3D val="0"/>
            <c:explosion val="11"/>
            <c:spPr>
              <a:solidFill>
                <a:schemeClr val="accent2"/>
              </a:solidFill>
              <a:ln w="25400">
                <a:noFill/>
              </a:ln>
              <a:effectLst/>
              <a:sp3d/>
            </c:spPr>
            <c:extLst>
              <c:ext xmlns:c16="http://schemas.microsoft.com/office/drawing/2014/chart" uri="{C3380CC4-5D6E-409C-BE32-E72D297353CC}">
                <c16:uniqueId val="{00000003-E88D-4F46-8FB7-E39DFADC8204}"/>
              </c:ext>
            </c:extLst>
          </c:dPt>
          <c:dPt>
            <c:idx val="2"/>
            <c:bubble3D val="0"/>
            <c:explosion val="11"/>
            <c:spPr>
              <a:solidFill>
                <a:schemeClr val="accent3"/>
              </a:solidFill>
              <a:ln w="25400">
                <a:noFill/>
              </a:ln>
              <a:effectLst/>
              <a:sp3d/>
            </c:spPr>
            <c:extLst>
              <c:ext xmlns:c16="http://schemas.microsoft.com/office/drawing/2014/chart" uri="{C3380CC4-5D6E-409C-BE32-E72D297353CC}">
                <c16:uniqueId val="{00000005-E88D-4F46-8FB7-E39DFADC820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chemeClr val="dk1"/>
                    </a:solidFill>
                    <a:latin typeface="+mn-lt"/>
                    <a:ea typeface="+mn-ea"/>
                    <a:cs typeface="+mn-cs"/>
                  </a:defRPr>
                </a:pPr>
                <a:endParaRPr lang="es-C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Hoja2!$C$2:$E$2</c:f>
              <c:strCache>
                <c:ptCount val="3"/>
                <c:pt idx="0">
                  <c:v>Sí</c:v>
                </c:pt>
                <c:pt idx="1">
                  <c:v>Parcial</c:v>
                </c:pt>
                <c:pt idx="2">
                  <c:v>N/A</c:v>
                </c:pt>
              </c:strCache>
            </c:strRef>
          </c:cat>
          <c:val>
            <c:numRef>
              <c:f>Hoja2!$C$3:$E$3</c:f>
              <c:numCache>
                <c:formatCode>General</c:formatCode>
                <c:ptCount val="3"/>
                <c:pt idx="0">
                  <c:v>15</c:v>
                </c:pt>
                <c:pt idx="1">
                  <c:v>4</c:v>
                </c:pt>
                <c:pt idx="2">
                  <c:v>1</c:v>
                </c:pt>
              </c:numCache>
            </c:numRef>
          </c:val>
          <c:extLst>
            <c:ext xmlns:c16="http://schemas.microsoft.com/office/drawing/2014/chart" uri="{C3380CC4-5D6E-409C-BE32-E72D297353CC}">
              <c16:uniqueId val="{00000006-E88D-4F46-8FB7-E39DFADC8204}"/>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50000"/>
          <a:lumOff val="50000"/>
        </a:schemeClr>
      </a:solidFill>
      <a:prstDash val="solid"/>
      <a:miter lim="800000"/>
    </a:ln>
    <a:effectLst/>
  </c:spPr>
  <c:txPr>
    <a:bodyPr/>
    <a:lstStyle/>
    <a:p>
      <a:pPr>
        <a:defRPr>
          <a:solidFill>
            <a:schemeClr val="dk1"/>
          </a:solidFill>
          <a:latin typeface="+mn-lt"/>
          <a:ea typeface="+mn-ea"/>
          <a:cs typeface="+mn-cs"/>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t>Tema 3 Cumplimiento responsabilidades  </a:t>
            </a:r>
          </a:p>
        </c:rich>
      </c:tx>
      <c:overlay val="0"/>
      <c:spPr>
        <a:noFill/>
        <a:ln>
          <a:noFill/>
        </a:ln>
        <a:effectLst/>
      </c:spPr>
      <c:txPr>
        <a:bodyPr rot="0" spcFirstLastPara="1" vertOverflow="ellipsis" vert="horz" wrap="square" anchor="ctr" anchorCtr="1"/>
        <a:lstStyle/>
        <a:p>
          <a:pPr>
            <a:defRPr sz="96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Pt>
            <c:idx val="1"/>
            <c:invertIfNegative val="0"/>
            <c:bubble3D val="0"/>
            <c:spPr>
              <a:solidFill>
                <a:schemeClr val="accent2"/>
              </a:solidFill>
              <a:ln>
                <a:noFill/>
              </a:ln>
              <a:effectLst/>
              <a:sp3d/>
            </c:spPr>
            <c:extLst>
              <c:ext xmlns:c16="http://schemas.microsoft.com/office/drawing/2014/chart" uri="{C3380CC4-5D6E-409C-BE32-E72D297353CC}">
                <c16:uniqueId val="{00000001-B328-4E75-A3E6-00AA26592F38}"/>
              </c:ext>
            </c:extLst>
          </c:dPt>
          <c:dPt>
            <c:idx val="2"/>
            <c:invertIfNegative val="0"/>
            <c:bubble3D val="0"/>
            <c:spPr>
              <a:solidFill>
                <a:schemeClr val="bg1">
                  <a:lumMod val="65000"/>
                </a:schemeClr>
              </a:solidFill>
              <a:ln>
                <a:noFill/>
              </a:ln>
              <a:effectLst/>
              <a:sp3d/>
            </c:spPr>
            <c:extLst>
              <c:ext xmlns:c16="http://schemas.microsoft.com/office/drawing/2014/chart" uri="{C3380CC4-5D6E-409C-BE32-E72D297353CC}">
                <c16:uniqueId val="{00000003-B328-4E75-A3E6-00AA26592F3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Hoja1!$B$23:$D$23</c:f>
              <c:strCache>
                <c:ptCount val="3"/>
                <c:pt idx="0">
                  <c:v>Promedio </c:v>
                </c:pt>
                <c:pt idx="1">
                  <c:v>SAF</c:v>
                </c:pt>
                <c:pt idx="2">
                  <c:v>OAJ</c:v>
                </c:pt>
              </c:strCache>
            </c:strRef>
          </c:cat>
          <c:val>
            <c:numRef>
              <c:f>Hoja1!$B$24:$D$24</c:f>
              <c:numCache>
                <c:formatCode>_(* #,##0.0_);_(* \(#,##0.0\);_(* "-"??_);_(@_)</c:formatCode>
                <c:ptCount val="3"/>
                <c:pt idx="0">
                  <c:v>67.5</c:v>
                </c:pt>
                <c:pt idx="1">
                  <c:v>95</c:v>
                </c:pt>
                <c:pt idx="2">
                  <c:v>40</c:v>
                </c:pt>
              </c:numCache>
            </c:numRef>
          </c:val>
          <c:extLst>
            <c:ext xmlns:c16="http://schemas.microsoft.com/office/drawing/2014/chart" uri="{C3380CC4-5D6E-409C-BE32-E72D297353CC}">
              <c16:uniqueId val="{00000004-B328-4E75-A3E6-00AA26592F38}"/>
            </c:ext>
          </c:extLst>
        </c:ser>
        <c:dLbls>
          <c:showLegendKey val="0"/>
          <c:showVal val="0"/>
          <c:showCatName val="0"/>
          <c:showSerName val="0"/>
          <c:showPercent val="0"/>
          <c:showBubbleSize val="0"/>
        </c:dLbls>
        <c:gapWidth val="150"/>
        <c:shape val="box"/>
        <c:axId val="448186416"/>
        <c:axId val="448187536"/>
        <c:axId val="0"/>
      </c:bar3DChart>
      <c:catAx>
        <c:axId val="448186416"/>
        <c:scaling>
          <c:orientation val="minMax"/>
        </c:scaling>
        <c:delete val="1"/>
        <c:axPos val="b"/>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t>Dependencias Responsables</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crossAx val="448187536"/>
        <c:crosses val="autoZero"/>
        <c:auto val="1"/>
        <c:lblAlgn val="ctr"/>
        <c:lblOffset val="100"/>
        <c:noMultiLvlLbl val="0"/>
      </c:catAx>
      <c:valAx>
        <c:axId val="44818753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t>% cumplimiento</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_(* #,##0.0_);_(* \(#,##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448186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CO" sz="1000" b="1" i="0" u="none" strike="noStrike" baseline="0">
                <a:solidFill>
                  <a:sysClr val="windowText" lastClr="000000"/>
                </a:solidFill>
                <a:effectLst/>
                <a:latin typeface="Arial" panose="020B0604020202020204" pitchFamily="34" charset="0"/>
                <a:cs typeface="Arial" panose="020B0604020202020204" pitchFamily="34" charset="0"/>
              </a:rPr>
              <a:t>Tema 5 Cumplimiento responsabilidades </a:t>
            </a:r>
            <a:endParaRPr lang="es-CO" sz="10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chemeClr val="accent2"/>
              </a:solidFill>
              <a:ln>
                <a:noFill/>
              </a:ln>
              <a:effectLst/>
              <a:sp3d/>
            </c:spPr>
            <c:extLst>
              <c:ext xmlns:c16="http://schemas.microsoft.com/office/drawing/2014/chart" uri="{C3380CC4-5D6E-409C-BE32-E72D297353CC}">
                <c16:uniqueId val="{00000001-3279-4980-BC85-5F58C70BE1BB}"/>
              </c:ext>
            </c:extLst>
          </c:dPt>
          <c:dPt>
            <c:idx val="2"/>
            <c:invertIfNegative val="0"/>
            <c:bubble3D val="0"/>
            <c:spPr>
              <a:solidFill>
                <a:schemeClr val="bg1">
                  <a:lumMod val="65000"/>
                </a:schemeClr>
              </a:solidFill>
              <a:ln>
                <a:noFill/>
              </a:ln>
              <a:effectLst/>
              <a:sp3d/>
            </c:spPr>
            <c:extLst>
              <c:ext xmlns:c16="http://schemas.microsoft.com/office/drawing/2014/chart" uri="{C3380CC4-5D6E-409C-BE32-E72D297353CC}">
                <c16:uniqueId val="{00000003-3279-4980-BC85-5F58C70BE1BB}"/>
              </c:ext>
            </c:extLst>
          </c:dPt>
          <c:dPt>
            <c:idx val="3"/>
            <c:invertIfNegative val="0"/>
            <c:bubble3D val="0"/>
            <c:spPr>
              <a:solidFill>
                <a:schemeClr val="accent6">
                  <a:lumMod val="75000"/>
                </a:schemeClr>
              </a:solidFill>
              <a:ln>
                <a:noFill/>
              </a:ln>
              <a:effectLst/>
              <a:sp3d/>
            </c:spPr>
            <c:extLst>
              <c:ext xmlns:c16="http://schemas.microsoft.com/office/drawing/2014/chart" uri="{C3380CC4-5D6E-409C-BE32-E72D297353CC}">
                <c16:uniqueId val="{00000005-3279-4980-BC85-5F58C70BE1B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79-4980-BC85-5F58C70BE1B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79-4980-BC85-5F58C70BE1B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79-4980-BC85-5F58C70BE1BB}"/>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79-4980-BC85-5F58C70BE1B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[gRAFICAS.xlsx]Hoja1!$B$52:$E$52</c:f>
              <c:strCache>
                <c:ptCount val="4"/>
                <c:pt idx="0">
                  <c:v>Promedio </c:v>
                </c:pt>
                <c:pt idx="1">
                  <c:v>SAF- TH</c:v>
                </c:pt>
                <c:pt idx="2">
                  <c:v>Tesorería</c:v>
                </c:pt>
                <c:pt idx="3">
                  <c:v>OAJ</c:v>
                </c:pt>
              </c:strCache>
            </c:strRef>
          </c:cat>
          <c:val>
            <c:numRef>
              <c:f>[gRAFICAS.xlsx]Hoja1!$B$53:$E$53</c:f>
              <c:numCache>
                <c:formatCode>General</c:formatCode>
                <c:ptCount val="4"/>
                <c:pt idx="0">
                  <c:v>66.7</c:v>
                </c:pt>
                <c:pt idx="1">
                  <c:v>100</c:v>
                </c:pt>
                <c:pt idx="2">
                  <c:v>50</c:v>
                </c:pt>
                <c:pt idx="3">
                  <c:v>50</c:v>
                </c:pt>
              </c:numCache>
            </c:numRef>
          </c:val>
          <c:extLst>
            <c:ext xmlns:c16="http://schemas.microsoft.com/office/drawing/2014/chart" uri="{C3380CC4-5D6E-409C-BE32-E72D297353CC}">
              <c16:uniqueId val="{00000007-3279-4980-BC85-5F58C70BE1BB}"/>
            </c:ext>
          </c:extLst>
        </c:ser>
        <c:dLbls>
          <c:showLegendKey val="0"/>
          <c:showVal val="0"/>
          <c:showCatName val="0"/>
          <c:showSerName val="0"/>
          <c:showPercent val="0"/>
          <c:showBubbleSize val="0"/>
        </c:dLbls>
        <c:gapWidth val="75"/>
        <c:shape val="box"/>
        <c:axId val="382535840"/>
        <c:axId val="451104640"/>
        <c:axId val="0"/>
      </c:bar3DChart>
      <c:catAx>
        <c:axId val="382535840"/>
        <c:scaling>
          <c:orientation val="minMax"/>
        </c:scaling>
        <c:delete val="1"/>
        <c:axPos val="b"/>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sz="800">
                    <a:solidFill>
                      <a:sysClr val="windowText" lastClr="000000"/>
                    </a:solidFill>
                    <a:latin typeface="Arial" panose="020B0604020202020204" pitchFamily="34" charset="0"/>
                    <a:cs typeface="Arial" panose="020B0604020202020204" pitchFamily="34" charset="0"/>
                  </a:rPr>
                  <a:t>Dependencias</a:t>
                </a:r>
                <a:r>
                  <a:rPr lang="es-CO" sz="800" baseline="0">
                    <a:solidFill>
                      <a:sysClr val="windowText" lastClr="000000"/>
                    </a:solidFill>
                    <a:latin typeface="Arial" panose="020B0604020202020204" pitchFamily="34" charset="0"/>
                    <a:cs typeface="Arial" panose="020B0604020202020204" pitchFamily="34" charset="0"/>
                  </a:rPr>
                  <a:t> Responsables</a:t>
                </a:r>
                <a:endParaRPr lang="es-CO" sz="8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crossAx val="451104640"/>
        <c:crosses val="autoZero"/>
        <c:auto val="1"/>
        <c:lblAlgn val="ctr"/>
        <c:lblOffset val="100"/>
        <c:noMultiLvlLbl val="0"/>
      </c:catAx>
      <c:valAx>
        <c:axId val="451104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 % Cumplimiento</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2535840"/>
        <c:crosses val="autoZero"/>
        <c:crossBetween val="between"/>
        <c:minorUnit val="4"/>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CO" sz="1000" b="1" i="0" u="none" strike="noStrike" baseline="0">
                <a:solidFill>
                  <a:sysClr val="windowText" lastClr="000000"/>
                </a:solidFill>
                <a:effectLst/>
                <a:latin typeface="Arial" panose="020B0604020202020204" pitchFamily="34" charset="0"/>
                <a:cs typeface="Arial" panose="020B0604020202020204" pitchFamily="34" charset="0"/>
              </a:rPr>
              <a:t>Tema 12 Cumplimiento responsabilidades </a:t>
            </a:r>
            <a:endParaRPr lang="es-CO" sz="10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chemeClr val="accent2"/>
              </a:solidFill>
              <a:ln>
                <a:noFill/>
              </a:ln>
              <a:effectLst/>
              <a:sp3d/>
            </c:spPr>
            <c:extLst>
              <c:ext xmlns:c16="http://schemas.microsoft.com/office/drawing/2014/chart" uri="{C3380CC4-5D6E-409C-BE32-E72D297353CC}">
                <c16:uniqueId val="{00000001-FAAE-4908-9F03-EBC7E86F8D13}"/>
              </c:ext>
            </c:extLst>
          </c:dPt>
          <c:dPt>
            <c:idx val="2"/>
            <c:invertIfNegative val="0"/>
            <c:bubble3D val="0"/>
            <c:spPr>
              <a:solidFill>
                <a:schemeClr val="bg1">
                  <a:lumMod val="65000"/>
                </a:schemeClr>
              </a:solidFill>
              <a:ln>
                <a:noFill/>
              </a:ln>
              <a:effectLst/>
              <a:sp3d/>
            </c:spPr>
            <c:extLst>
              <c:ext xmlns:c16="http://schemas.microsoft.com/office/drawing/2014/chart" uri="{C3380CC4-5D6E-409C-BE32-E72D297353CC}">
                <c16:uniqueId val="{00000003-FAAE-4908-9F03-EBC7E86F8D1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[gRAFICAS.xlsx]Hoja1!$B$67:$D$67</c:f>
              <c:strCache>
                <c:ptCount val="3"/>
                <c:pt idx="0">
                  <c:v>Promedio </c:v>
                </c:pt>
                <c:pt idx="1">
                  <c:v>STC</c:v>
                </c:pt>
                <c:pt idx="2">
                  <c:v>STRD</c:v>
                </c:pt>
              </c:strCache>
            </c:strRef>
          </c:cat>
          <c:val>
            <c:numRef>
              <c:f>[gRAFICAS.xlsx]Hoja1!$B$68:$D$68</c:f>
              <c:numCache>
                <c:formatCode>General</c:formatCode>
                <c:ptCount val="3"/>
                <c:pt idx="0">
                  <c:v>25</c:v>
                </c:pt>
                <c:pt idx="1">
                  <c:v>50</c:v>
                </c:pt>
                <c:pt idx="2">
                  <c:v>0</c:v>
                </c:pt>
              </c:numCache>
            </c:numRef>
          </c:val>
          <c:extLst>
            <c:ext xmlns:c16="http://schemas.microsoft.com/office/drawing/2014/chart" uri="{C3380CC4-5D6E-409C-BE32-E72D297353CC}">
              <c16:uniqueId val="{00000004-FAAE-4908-9F03-EBC7E86F8D13}"/>
            </c:ext>
          </c:extLst>
        </c:ser>
        <c:dLbls>
          <c:showLegendKey val="0"/>
          <c:showVal val="0"/>
          <c:showCatName val="0"/>
          <c:showSerName val="0"/>
          <c:showPercent val="0"/>
          <c:showBubbleSize val="0"/>
        </c:dLbls>
        <c:gapWidth val="150"/>
        <c:shape val="box"/>
        <c:axId val="449229312"/>
        <c:axId val="449230432"/>
        <c:axId val="0"/>
      </c:bar3DChart>
      <c:catAx>
        <c:axId val="449229312"/>
        <c:scaling>
          <c:orientation val="minMax"/>
        </c:scaling>
        <c:delete val="1"/>
        <c:axPos val="b"/>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sz="800">
                    <a:solidFill>
                      <a:sysClr val="windowText" lastClr="000000"/>
                    </a:solidFill>
                    <a:latin typeface="Arial" panose="020B0604020202020204" pitchFamily="34" charset="0"/>
                    <a:cs typeface="Arial" panose="020B0604020202020204" pitchFamily="34" charset="0"/>
                  </a:rPr>
                  <a:t>Depencias</a:t>
                </a:r>
                <a:r>
                  <a:rPr lang="es-CO" sz="800" baseline="0">
                    <a:solidFill>
                      <a:sysClr val="windowText" lastClr="000000"/>
                    </a:solidFill>
                    <a:latin typeface="Arial" panose="020B0604020202020204" pitchFamily="34" charset="0"/>
                    <a:cs typeface="Arial" panose="020B0604020202020204" pitchFamily="34" charset="0"/>
                  </a:rPr>
                  <a:t> Responsables</a:t>
                </a:r>
                <a:endParaRPr lang="es-CO" sz="8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crossAx val="449230432"/>
        <c:crosses val="autoZero"/>
        <c:auto val="1"/>
        <c:lblAlgn val="ctr"/>
        <c:lblOffset val="100"/>
        <c:noMultiLvlLbl val="0"/>
      </c:catAx>
      <c:valAx>
        <c:axId val="44923043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sz="800">
                    <a:solidFill>
                      <a:sysClr val="windowText" lastClr="000000"/>
                    </a:solidFill>
                    <a:latin typeface="Arial" panose="020B0604020202020204" pitchFamily="34" charset="0"/>
                    <a:cs typeface="Arial" panose="020B0604020202020204" pitchFamily="34" charset="0"/>
                  </a:rPr>
                  <a:t>%</a:t>
                </a:r>
                <a:r>
                  <a:rPr lang="es-CO" sz="800" baseline="0">
                    <a:solidFill>
                      <a:sysClr val="windowText" lastClr="000000"/>
                    </a:solidFill>
                    <a:latin typeface="Arial" panose="020B0604020202020204" pitchFamily="34" charset="0"/>
                    <a:cs typeface="Arial" panose="020B0604020202020204" pitchFamily="34" charset="0"/>
                  </a:rPr>
                  <a:t> Cumplimiento</a:t>
                </a:r>
                <a:endParaRPr lang="es-CO" sz="8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49229312"/>
        <c:crosses val="autoZero"/>
        <c:crossBetween val="between"/>
        <c:majorUnit val="20"/>
        <c:minorUnit val="4"/>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3389-20E1-4DFA-AA13-52E159C7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11734</Words>
  <Characters>64539</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Carolina Restrepo G</cp:lastModifiedBy>
  <cp:revision>2</cp:revision>
  <cp:lastPrinted>2021-01-25T16:35:00Z</cp:lastPrinted>
  <dcterms:created xsi:type="dcterms:W3CDTF">2021-05-14T18:04:00Z</dcterms:created>
  <dcterms:modified xsi:type="dcterms:W3CDTF">2021-05-14T18:04:00Z</dcterms:modified>
</cp:coreProperties>
</file>